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108" w:type="dxa"/>
        <w:tblLayout w:type="fixed"/>
        <w:tblCellMar>
          <w:top w:w="0" w:type="dxa"/>
          <w:left w:w="0" w:type="dxa"/>
          <w:bottom w:w="0" w:type="dxa"/>
          <w:right w:w="0" w:type="dxa"/>
        </w:tblCellMar>
      </w:tblPr>
      <w:tblGrid>
        <w:gridCol w:w="1473"/>
        <w:gridCol w:w="981"/>
        <w:gridCol w:w="2129"/>
        <w:gridCol w:w="2143"/>
        <w:gridCol w:w="2578"/>
        <w:gridCol w:w="1243"/>
      </w:tblGrid>
      <w:tr>
        <w:tblPrEx>
          <w:tblCellMar>
            <w:top w:w="0" w:type="dxa"/>
            <w:left w:w="0" w:type="dxa"/>
            <w:bottom w:w="0" w:type="dxa"/>
            <w:right w:w="0" w:type="dxa"/>
          </w:tblCellMar>
        </w:tblPrEx>
        <w:trPr>
          <w:trHeight w:val="333" w:hRule="atLeast"/>
        </w:trPr>
        <w:tc>
          <w:tcPr>
            <w:tcW w:w="1473" w:type="dxa"/>
          </w:tcPr>
          <w:p>
            <w:pPr>
              <w:pStyle w:val="9"/>
              <w:spacing w:line="266" w:lineRule="exact"/>
              <w:ind w:left="176" w:right="129"/>
              <w:jc w:val="center"/>
              <w:rPr>
                <w:sz w:val="24"/>
              </w:rPr>
            </w:pPr>
            <w:r>
              <w:rPr>
                <w:sz w:val="24"/>
              </w:rPr>
              <w:t>Stock code:</w:t>
            </w:r>
          </w:p>
        </w:tc>
        <w:tc>
          <w:tcPr>
            <w:tcW w:w="981" w:type="dxa"/>
          </w:tcPr>
          <w:p>
            <w:pPr>
              <w:pStyle w:val="9"/>
              <w:spacing w:line="266" w:lineRule="exact"/>
              <w:ind w:right="107"/>
              <w:jc w:val="right"/>
              <w:rPr>
                <w:sz w:val="24"/>
              </w:rPr>
            </w:pPr>
            <w:r>
              <w:rPr>
                <w:sz w:val="24"/>
              </w:rPr>
              <w:t>000301</w:t>
            </w:r>
          </w:p>
        </w:tc>
        <w:tc>
          <w:tcPr>
            <w:tcW w:w="2129" w:type="dxa"/>
          </w:tcPr>
          <w:p>
            <w:pPr>
              <w:pStyle w:val="9"/>
              <w:spacing w:line="266" w:lineRule="exact"/>
              <w:ind w:left="86" w:right="130"/>
              <w:jc w:val="center"/>
              <w:rPr>
                <w:sz w:val="24"/>
              </w:rPr>
            </w:pPr>
            <w:r>
              <w:rPr>
                <w:sz w:val="24"/>
              </w:rPr>
              <w:t>Stock abbreviation:</w:t>
            </w:r>
          </w:p>
        </w:tc>
        <w:tc>
          <w:tcPr>
            <w:tcW w:w="2143" w:type="dxa"/>
          </w:tcPr>
          <w:p>
            <w:pPr>
              <w:pStyle w:val="9"/>
              <w:spacing w:line="266" w:lineRule="exact"/>
              <w:ind w:left="153"/>
              <w:rPr>
                <w:sz w:val="24"/>
              </w:rPr>
            </w:pPr>
            <w:r>
              <w:rPr>
                <w:sz w:val="24"/>
              </w:rPr>
              <w:t>Eastern Shenghong</w:t>
            </w:r>
          </w:p>
        </w:tc>
        <w:tc>
          <w:tcPr>
            <w:tcW w:w="2578" w:type="dxa"/>
          </w:tcPr>
          <w:p>
            <w:pPr>
              <w:pStyle w:val="9"/>
              <w:spacing w:line="266" w:lineRule="exact"/>
              <w:ind w:left="130"/>
              <w:rPr>
                <w:sz w:val="24"/>
              </w:rPr>
            </w:pPr>
            <w:r>
              <w:rPr>
                <w:sz w:val="24"/>
              </w:rPr>
              <w:t>Announcement number:</w:t>
            </w:r>
          </w:p>
        </w:tc>
        <w:tc>
          <w:tcPr>
            <w:tcW w:w="1243" w:type="dxa"/>
          </w:tcPr>
          <w:p>
            <w:pPr>
              <w:pStyle w:val="9"/>
              <w:spacing w:line="266" w:lineRule="exact"/>
              <w:ind w:left="123"/>
              <w:rPr>
                <w:rFonts w:hint="default" w:eastAsia="宋体"/>
                <w:sz w:val="24"/>
                <w:lang w:val="en-US" w:eastAsia="zh-CN"/>
              </w:rPr>
            </w:pPr>
            <w:r>
              <w:rPr>
                <w:sz w:val="24"/>
              </w:rPr>
              <w:t>202</w:t>
            </w:r>
            <w:r>
              <w:rPr>
                <w:rFonts w:hint="eastAsia" w:eastAsia="宋体"/>
                <w:sz w:val="24"/>
                <w:lang w:eastAsia="zh-CN"/>
              </w:rPr>
              <w:t>5</w:t>
            </w:r>
            <w:r>
              <w:rPr>
                <w:sz w:val="24"/>
              </w:rPr>
              <w:t>-0</w:t>
            </w:r>
            <w:r>
              <w:rPr>
                <w:rFonts w:hint="eastAsia" w:eastAsia="宋体"/>
                <w:sz w:val="24"/>
                <w:lang w:eastAsia="zh-CN"/>
              </w:rPr>
              <w:t>1</w:t>
            </w:r>
            <w:r>
              <w:rPr>
                <w:rFonts w:hint="eastAsia" w:eastAsia="宋体"/>
                <w:sz w:val="24"/>
                <w:lang w:val="en-US" w:eastAsia="zh-CN"/>
              </w:rPr>
              <w:t>8</w:t>
            </w:r>
          </w:p>
        </w:tc>
      </w:tr>
      <w:tr>
        <w:tblPrEx>
          <w:tblCellMar>
            <w:top w:w="0" w:type="dxa"/>
            <w:left w:w="0" w:type="dxa"/>
            <w:bottom w:w="0" w:type="dxa"/>
            <w:right w:w="0" w:type="dxa"/>
          </w:tblCellMar>
        </w:tblPrEx>
        <w:trPr>
          <w:trHeight w:val="333" w:hRule="atLeast"/>
        </w:trPr>
        <w:tc>
          <w:tcPr>
            <w:tcW w:w="1473" w:type="dxa"/>
          </w:tcPr>
          <w:p>
            <w:pPr>
              <w:pStyle w:val="9"/>
              <w:spacing w:before="57" w:line="256" w:lineRule="exact"/>
              <w:ind w:left="154" w:right="129"/>
              <w:jc w:val="center"/>
              <w:rPr>
                <w:sz w:val="24"/>
              </w:rPr>
            </w:pPr>
            <w:r>
              <w:rPr>
                <w:sz w:val="24"/>
              </w:rPr>
              <w:t>Bond code:</w:t>
            </w:r>
          </w:p>
        </w:tc>
        <w:tc>
          <w:tcPr>
            <w:tcW w:w="981" w:type="dxa"/>
          </w:tcPr>
          <w:p>
            <w:pPr>
              <w:pStyle w:val="9"/>
              <w:spacing w:before="57" w:line="256" w:lineRule="exact"/>
              <w:ind w:right="107"/>
              <w:jc w:val="right"/>
              <w:rPr>
                <w:sz w:val="24"/>
              </w:rPr>
            </w:pPr>
            <w:r>
              <w:rPr>
                <w:sz w:val="24"/>
              </w:rPr>
              <w:t>127030</w:t>
            </w:r>
          </w:p>
        </w:tc>
        <w:tc>
          <w:tcPr>
            <w:tcW w:w="2129" w:type="dxa"/>
          </w:tcPr>
          <w:p>
            <w:pPr>
              <w:pStyle w:val="9"/>
              <w:spacing w:before="57" w:line="256" w:lineRule="exact"/>
              <w:ind w:left="64" w:right="130"/>
              <w:jc w:val="center"/>
              <w:rPr>
                <w:sz w:val="24"/>
              </w:rPr>
            </w:pPr>
            <w:r>
              <w:rPr>
                <w:sz w:val="24"/>
              </w:rPr>
              <w:t>Bond abbreviation:</w:t>
            </w:r>
          </w:p>
        </w:tc>
        <w:tc>
          <w:tcPr>
            <w:tcW w:w="4721" w:type="dxa"/>
            <w:gridSpan w:val="2"/>
          </w:tcPr>
          <w:p>
            <w:pPr>
              <w:pStyle w:val="9"/>
              <w:spacing w:before="57" w:line="256" w:lineRule="exact"/>
              <w:ind w:left="153"/>
              <w:rPr>
                <w:sz w:val="24"/>
              </w:rPr>
            </w:pPr>
            <w:r>
              <w:rPr>
                <w:sz w:val="24"/>
              </w:rPr>
              <w:t>Shenghong Convertible Bond</w:t>
            </w:r>
          </w:p>
        </w:tc>
        <w:tc>
          <w:tcPr>
            <w:tcW w:w="1243" w:type="dxa"/>
          </w:tcPr>
          <w:p>
            <w:pPr>
              <w:pStyle w:val="9"/>
              <w:rPr>
                <w:sz w:val="24"/>
              </w:rPr>
            </w:pPr>
          </w:p>
        </w:tc>
      </w:tr>
    </w:tbl>
    <w:p>
      <w:pPr>
        <w:pStyle w:val="4"/>
        <w:spacing w:before="10"/>
      </w:pPr>
    </w:p>
    <w:p>
      <w:pPr>
        <w:pStyle w:val="2"/>
      </w:pPr>
      <w:r>
        <w:t>Jiangsu Eastern Shenghong Co., Ltd.</w:t>
      </w:r>
    </w:p>
    <w:p>
      <w:pPr>
        <w:spacing w:before="154"/>
        <w:ind w:left="1049" w:right="1071"/>
        <w:jc w:val="center"/>
        <w:rPr>
          <w:rFonts w:hint="eastAsia" w:eastAsia="宋体"/>
          <w:b/>
          <w:sz w:val="30"/>
          <w:lang w:val="en-US" w:eastAsia="zh-CN"/>
        </w:rPr>
      </w:pPr>
      <w:r>
        <w:rPr>
          <w:b/>
          <w:sz w:val="30"/>
        </w:rPr>
        <w:t>Announcement on the Conversion of Convertible Bonds in Q</w:t>
      </w:r>
      <w:r>
        <w:rPr>
          <w:rFonts w:hint="eastAsia" w:eastAsia="宋体"/>
          <w:b/>
          <w:sz w:val="30"/>
          <w:lang w:val="en-US" w:eastAsia="zh-CN"/>
        </w:rPr>
        <w:t>1</w:t>
      </w:r>
      <w:r>
        <w:rPr>
          <w:b/>
          <w:sz w:val="30"/>
        </w:rPr>
        <w:t xml:space="preserve"> 202</w:t>
      </w:r>
      <w:r>
        <w:rPr>
          <w:rFonts w:hint="eastAsia" w:eastAsia="宋体"/>
          <w:b/>
          <w:sz w:val="30"/>
          <w:lang w:val="en-US" w:eastAsia="zh-CN"/>
        </w:rPr>
        <w:t>5</w:t>
      </w:r>
    </w:p>
    <w:p>
      <w:pPr>
        <w:pStyle w:val="4"/>
        <w:spacing w:before="9"/>
        <w:rPr>
          <w:b/>
          <w:sz w:val="26"/>
        </w:rPr>
      </w:pPr>
      <w:r>
        <w:pict>
          <v:shape id="_x0000_s2050" o:spid="_x0000_s2050" o:spt="202" type="#_x0000_t202" style="position:absolute;left:0pt;margin-left:50.8pt;margin-top:17.75pt;height:80.4pt;width:486.2pt;mso-position-horizontal-relative:page;mso-wrap-distance-bottom:0pt;mso-wrap-distance-top:0pt;z-index:-251657216;mso-width-relative:page;mso-height-relative:page;" filled="f" coordsize="21600,21600">
            <v:path/>
            <v:fill on="f" focussize="0,0"/>
            <v:stroke joinstyle="miter"/>
            <v:imagedata o:title=""/>
            <o:lock v:ext="edit"/>
            <v:textbox inset="0mm,0mm,0mm,0mm">
              <w:txbxContent>
                <w:p>
                  <w:pPr>
                    <w:pStyle w:val="4"/>
                    <w:spacing w:before="229" w:line="381" w:lineRule="auto"/>
                    <w:ind w:left="144" w:right="144" w:firstLine="480"/>
                    <w:jc w:val="both"/>
                  </w:pPr>
                  <w:r>
                    <w:t>The Company and all members of the Board of Directors warrant that the content of the information disclosure is true, accurate and complete, and there are no false representations, misleading statements or material omissions.</w:t>
                  </w:r>
                </w:p>
              </w:txbxContent>
            </v:textbox>
            <w10:wrap type="topAndBottom"/>
          </v:shape>
        </w:pict>
      </w:r>
    </w:p>
    <w:p>
      <w:pPr>
        <w:pStyle w:val="4"/>
        <w:spacing w:before="1"/>
        <w:rPr>
          <w:b/>
          <w:sz w:val="34"/>
        </w:rPr>
      </w:pPr>
    </w:p>
    <w:p>
      <w:pPr>
        <w:pStyle w:val="3"/>
        <w:ind w:left="1035"/>
        <w:jc w:val="left"/>
      </w:pPr>
      <w:r>
        <w:t>Special Reminder:</w:t>
      </w:r>
    </w:p>
    <w:p>
      <w:pPr>
        <w:pStyle w:val="8"/>
        <w:numPr>
          <w:ilvl w:val="0"/>
          <w:numId w:val="1"/>
        </w:numPr>
        <w:tabs>
          <w:tab w:val="left" w:pos="1274"/>
          <w:tab w:val="left" w:pos="4019"/>
        </w:tabs>
        <w:ind w:hanging="241"/>
        <w:jc w:val="both"/>
        <w:rPr>
          <w:sz w:val="24"/>
        </w:rPr>
      </w:pPr>
      <w:r>
        <w:rPr>
          <w:sz w:val="24"/>
        </w:rPr>
        <w:t>Stock</w:t>
      </w:r>
      <w:r>
        <w:rPr>
          <w:spacing w:val="-1"/>
          <w:sz w:val="24"/>
        </w:rPr>
        <w:t xml:space="preserve"> </w:t>
      </w:r>
      <w:r>
        <w:rPr>
          <w:sz w:val="24"/>
        </w:rPr>
        <w:t>code:</w:t>
      </w:r>
      <w:r>
        <w:rPr>
          <w:spacing w:val="-1"/>
          <w:sz w:val="24"/>
        </w:rPr>
        <w:t xml:space="preserve"> </w:t>
      </w:r>
      <w:r>
        <w:rPr>
          <w:sz w:val="24"/>
        </w:rPr>
        <w:t>000301</w:t>
      </w:r>
      <w:r>
        <w:rPr>
          <w:sz w:val="24"/>
        </w:rPr>
        <w:tab/>
      </w:r>
      <w:r>
        <w:rPr>
          <w:sz w:val="24"/>
        </w:rPr>
        <w:t>Stock abbreviation: Eastern</w:t>
      </w:r>
      <w:r>
        <w:rPr>
          <w:spacing w:val="1"/>
          <w:sz w:val="24"/>
        </w:rPr>
        <w:t xml:space="preserve"> </w:t>
      </w:r>
      <w:r>
        <w:rPr>
          <w:sz w:val="24"/>
        </w:rPr>
        <w:t>Shenghong</w:t>
      </w:r>
    </w:p>
    <w:p>
      <w:pPr>
        <w:pStyle w:val="8"/>
        <w:numPr>
          <w:ilvl w:val="0"/>
          <w:numId w:val="1"/>
        </w:numPr>
        <w:tabs>
          <w:tab w:val="left" w:pos="1274"/>
          <w:tab w:val="left" w:pos="3992"/>
        </w:tabs>
        <w:ind w:hanging="241"/>
        <w:jc w:val="both"/>
        <w:rPr>
          <w:sz w:val="24"/>
        </w:rPr>
      </w:pPr>
      <w:r>
        <w:rPr>
          <w:sz w:val="24"/>
        </w:rPr>
        <w:t>Bond</w:t>
      </w:r>
      <w:r>
        <w:rPr>
          <w:spacing w:val="-1"/>
          <w:sz w:val="24"/>
        </w:rPr>
        <w:t xml:space="preserve"> </w:t>
      </w:r>
      <w:r>
        <w:rPr>
          <w:sz w:val="24"/>
        </w:rPr>
        <w:t>code: 127030</w:t>
      </w:r>
      <w:r>
        <w:rPr>
          <w:sz w:val="24"/>
        </w:rPr>
        <w:tab/>
      </w:r>
      <w:r>
        <w:rPr>
          <w:sz w:val="24"/>
        </w:rPr>
        <w:t>Bond abbreviation: Shenghong Convertible</w:t>
      </w:r>
      <w:r>
        <w:rPr>
          <w:spacing w:val="-2"/>
          <w:sz w:val="24"/>
        </w:rPr>
        <w:t xml:space="preserve"> </w:t>
      </w:r>
      <w:r>
        <w:rPr>
          <w:sz w:val="24"/>
        </w:rPr>
        <w:t>Bond</w:t>
      </w:r>
    </w:p>
    <w:p>
      <w:pPr>
        <w:pStyle w:val="8"/>
        <w:numPr>
          <w:ilvl w:val="0"/>
          <w:numId w:val="1"/>
        </w:numPr>
        <w:tabs>
          <w:tab w:val="left" w:pos="1274"/>
        </w:tabs>
        <w:ind w:hanging="241"/>
        <w:jc w:val="both"/>
        <w:rPr>
          <w:sz w:val="24"/>
        </w:rPr>
      </w:pPr>
      <w:r>
        <w:rPr>
          <w:sz w:val="24"/>
        </w:rPr>
        <w:t>Share conversion price:</w:t>
      </w:r>
      <w:r>
        <w:rPr>
          <w:spacing w:val="-2"/>
          <w:sz w:val="24"/>
        </w:rPr>
        <w:t xml:space="preserve"> </w:t>
      </w:r>
      <w:r>
        <w:rPr>
          <w:sz w:val="24"/>
        </w:rPr>
        <w:t>CN¥13.</w:t>
      </w:r>
      <w:r>
        <w:rPr>
          <w:rFonts w:hint="eastAsia" w:eastAsia="宋体"/>
          <w:sz w:val="24"/>
          <w:lang w:eastAsia="zh-CN"/>
        </w:rPr>
        <w:t>2</w:t>
      </w:r>
      <w:r>
        <w:rPr>
          <w:sz w:val="24"/>
        </w:rPr>
        <w:t>1/share</w:t>
      </w:r>
    </w:p>
    <w:p>
      <w:pPr>
        <w:pStyle w:val="8"/>
        <w:numPr>
          <w:ilvl w:val="0"/>
          <w:numId w:val="1"/>
        </w:numPr>
        <w:tabs>
          <w:tab w:val="left" w:pos="1274"/>
        </w:tabs>
        <w:ind w:hanging="241"/>
        <w:jc w:val="both"/>
        <w:rPr>
          <w:sz w:val="24"/>
        </w:rPr>
      </w:pPr>
      <w:r>
        <w:rPr>
          <w:sz w:val="24"/>
        </w:rPr>
        <w:t>Share conversion period: September 27, 2021 to March 21,</w:t>
      </w:r>
      <w:r>
        <w:rPr>
          <w:spacing w:val="-3"/>
          <w:sz w:val="24"/>
        </w:rPr>
        <w:t xml:space="preserve"> </w:t>
      </w:r>
      <w:r>
        <w:rPr>
          <w:sz w:val="24"/>
        </w:rPr>
        <w:t>2027</w:t>
      </w:r>
    </w:p>
    <w:p>
      <w:pPr>
        <w:pStyle w:val="4"/>
        <w:rPr>
          <w:sz w:val="26"/>
        </w:rPr>
      </w:pPr>
    </w:p>
    <w:p>
      <w:pPr>
        <w:pStyle w:val="4"/>
        <w:spacing w:before="3"/>
        <w:rPr>
          <w:sz w:val="22"/>
        </w:rPr>
      </w:pPr>
    </w:p>
    <w:p>
      <w:pPr>
        <w:pStyle w:val="4"/>
        <w:spacing w:line="381" w:lineRule="auto"/>
        <w:ind w:left="552" w:right="570" w:firstLine="480"/>
        <w:jc w:val="both"/>
      </w:pPr>
      <w:r>
        <w:t>Pursuant to the Rules Governing the Listing of Shares on the Shenzhen Stock Exchange, the Self-discipline Regulation Guidelines No.</w:t>
      </w:r>
      <w:r>
        <w:rPr>
          <w:rFonts w:hint="eastAsia" w:eastAsia="宋体"/>
          <w:lang w:eastAsia="zh-CN"/>
        </w:rPr>
        <w:t xml:space="preserve"> </w:t>
      </w:r>
      <w:r>
        <w:t xml:space="preserve">15 for Listed Companies on the Shenzhen Stock Exchange: Convertible Bonds, and other applicable regulations, Jiangsu Eastern Shenghong Co., Ltd. (hereinafter referred to as the “Company”) hereby announces the conversion of convertible bonds (hereinafter referred to as “Convertible Bonds”) and changes in the Company’s shares in the </w:t>
      </w:r>
      <w:r>
        <w:rPr>
          <w:rFonts w:hint="eastAsia" w:eastAsia="宋体"/>
          <w:lang w:val="en-US" w:eastAsia="zh-CN"/>
        </w:rPr>
        <w:t>first</w:t>
      </w:r>
      <w:r>
        <w:t xml:space="preserve"> quarter of </w:t>
      </w:r>
      <w:r>
        <w:rPr>
          <w:rFonts w:hint="eastAsia" w:eastAsia="宋体"/>
          <w:lang w:eastAsia="zh-CN"/>
        </w:rPr>
        <w:t>202</w:t>
      </w:r>
      <w:r>
        <w:rPr>
          <w:rFonts w:hint="eastAsia" w:eastAsia="宋体"/>
          <w:lang w:val="en-US" w:eastAsia="zh-CN"/>
        </w:rPr>
        <w:t>5</w:t>
      </w:r>
      <w:r>
        <w:t xml:space="preserve"> as follows:</w:t>
      </w:r>
    </w:p>
    <w:p>
      <w:pPr>
        <w:pStyle w:val="3"/>
        <w:numPr>
          <w:ilvl w:val="1"/>
          <w:numId w:val="1"/>
        </w:numPr>
        <w:tabs>
          <w:tab w:val="left" w:pos="1250"/>
        </w:tabs>
        <w:spacing w:before="197"/>
        <w:ind w:hanging="215"/>
        <w:jc w:val="both"/>
      </w:pPr>
      <w:r>
        <w:t>Overview of the Issuance and Listing of the Convertible Bonds</w:t>
      </w:r>
    </w:p>
    <w:p>
      <w:pPr>
        <w:pStyle w:val="4"/>
        <w:spacing w:before="8"/>
        <w:rPr>
          <w:b/>
          <w:sz w:val="30"/>
        </w:rPr>
      </w:pPr>
    </w:p>
    <w:p>
      <w:pPr>
        <w:pStyle w:val="4"/>
        <w:spacing w:line="381" w:lineRule="auto"/>
        <w:ind w:left="552" w:right="570" w:firstLine="480"/>
        <w:jc w:val="both"/>
      </w:pPr>
      <w:r>
        <w:t>On March 22, 2021, the Company publicly issued 50,000,000 convertible bonds, each with a face value of CN¥100, totaling CN¥5,000,000,000, with a term of 6 years, as approved by the China Securities Regulatory Commission (hereinafter referred to as the “CSRC”) in the Reply to the Approval of the Public Issuance of Convertible Bonds by Jiangsu Eastern Shenghong Co., Ltd. (CSRC Approval [2021] No. 512). With the consent of the Shenzhen Stock Exchange (SZSE), the Convertible Bonds issued were listed for trading on the SZSE on April 21, 2021, with the abbreviation of “Shenghong Convertible Bond” and the code of “127030.”</w:t>
      </w:r>
    </w:p>
    <w:p>
      <w:pPr>
        <w:spacing w:line="381" w:lineRule="auto"/>
        <w:jc w:val="both"/>
        <w:sectPr>
          <w:footerReference r:id="rId3" w:type="default"/>
          <w:type w:val="continuous"/>
          <w:pgSz w:w="11910" w:h="16840"/>
          <w:pgMar w:top="1220" w:right="560" w:bottom="1420" w:left="580" w:header="720" w:footer="1231" w:gutter="0"/>
          <w:pgNumType w:start="1"/>
          <w:cols w:space="720" w:num="1"/>
        </w:sectPr>
      </w:pPr>
    </w:p>
    <w:p>
      <w:pPr>
        <w:pStyle w:val="4"/>
        <w:spacing w:before="63" w:line="381" w:lineRule="auto"/>
        <w:ind w:left="552" w:right="571" w:firstLine="480"/>
        <w:jc w:val="both"/>
      </w:pPr>
      <w:r>
        <w:t>As agreed in applicable regulations and the Prospectus of the Public Issuance of A-Share Convertible Bonds by Jiangsu Eastern Shenghong Co., Ltd., the conversion of the Shenghong Convertible Bond shall commence on the first trading day (September 27, 2021) 6 months after the end of the issuance of the Convertible Bonds (March 26, 2021) and shall end on the maturity date of the Convertible Bonds (March 21, 2027) (which will be postponed to the up-coming trading day given the maturity date is a statutory holiday or a day off). The initial conversion price of the Shenghong Convertible Bond was CN¥14.20/share.</w:t>
      </w:r>
    </w:p>
    <w:p>
      <w:pPr>
        <w:pStyle w:val="3"/>
        <w:numPr>
          <w:ilvl w:val="1"/>
          <w:numId w:val="1"/>
        </w:numPr>
        <w:tabs>
          <w:tab w:val="left" w:pos="1343"/>
        </w:tabs>
        <w:spacing w:before="200"/>
        <w:ind w:left="1342" w:hanging="308"/>
        <w:jc w:val="both"/>
      </w:pPr>
      <w:r>
        <w:t>Adjustments to the Conversion Price of the Convertible</w:t>
      </w:r>
      <w:r>
        <w:rPr>
          <w:spacing w:val="2"/>
        </w:rPr>
        <w:t xml:space="preserve"> </w:t>
      </w:r>
      <w:r>
        <w:t>Bonds</w:t>
      </w:r>
    </w:p>
    <w:p>
      <w:pPr>
        <w:pStyle w:val="4"/>
        <w:spacing w:before="8"/>
        <w:rPr>
          <w:b/>
          <w:sz w:val="30"/>
        </w:rPr>
      </w:pPr>
    </w:p>
    <w:p>
      <w:pPr>
        <w:pStyle w:val="4"/>
        <w:spacing w:line="381" w:lineRule="auto"/>
        <w:ind w:left="552" w:right="571" w:firstLine="480"/>
        <w:jc w:val="both"/>
      </w:pPr>
      <w:r>
        <w:t xml:space="preserve">In June 2021, the Company implemented the dividend distribution plan for 2020 pursuant to the resolution of the Company’s General Meeting 2020. After the implementation, the Shenghong Convertible </w:t>
      </w:r>
      <w:r>
        <w:rPr>
          <w:spacing w:val="-3"/>
        </w:rPr>
        <w:t xml:space="preserve">Bond’s </w:t>
      </w:r>
      <w:r>
        <w:t xml:space="preserve">conversion price was adjusted from </w:t>
      </w:r>
      <w:r>
        <w:rPr>
          <w:spacing w:val="-3"/>
        </w:rPr>
        <w:t xml:space="preserve">CN¥14.20/share </w:t>
      </w:r>
      <w:r>
        <w:t xml:space="preserve">to </w:t>
      </w:r>
      <w:r>
        <w:rPr>
          <w:spacing w:val="-3"/>
        </w:rPr>
        <w:t xml:space="preserve">CN¥14.10/share, </w:t>
      </w:r>
      <w:r>
        <w:t>which took effect on June 18,</w:t>
      </w:r>
      <w:r>
        <w:rPr>
          <w:spacing w:val="-2"/>
        </w:rPr>
        <w:t xml:space="preserve"> </w:t>
      </w:r>
      <w:r>
        <w:t>2021.</w:t>
      </w:r>
    </w:p>
    <w:p>
      <w:pPr>
        <w:pStyle w:val="4"/>
        <w:spacing w:before="196" w:line="384" w:lineRule="auto"/>
        <w:ind w:left="552" w:right="569" w:firstLine="480"/>
        <w:jc w:val="both"/>
      </w:pPr>
      <w:r>
        <w:t xml:space="preserve">In January 2022, the Company offered 1,111,528,326 Renminbi common shares in a non-public manner to purchase assets pursuant to the </w:t>
      </w:r>
      <w:r>
        <w:rPr>
          <w:spacing w:val="-3"/>
        </w:rPr>
        <w:t xml:space="preserve">CSRC’s </w:t>
      </w:r>
      <w:r>
        <w:t xml:space="preserve">Reply to the Approval of the Share Offering by Jiangsu Eastern Shenghong Co., Ltd. to Shenghong Petrochemical Group Co., Ltd. and Other Parties to Purchase Assets and Raise Supporting Funds (CSRC Approval [2021] No. 4179). After the listing of the additional shares, the Shenghong Convertible </w:t>
      </w:r>
      <w:r>
        <w:rPr>
          <w:spacing w:val="-3"/>
        </w:rPr>
        <w:t xml:space="preserve">Bond’s </w:t>
      </w:r>
      <w:r>
        <w:t xml:space="preserve">conversion price was adjusted from </w:t>
      </w:r>
      <w:r>
        <w:rPr>
          <w:spacing w:val="-6"/>
        </w:rPr>
        <w:t>CN¥14.</w:t>
      </w:r>
      <w:r>
        <w:t xml:space="preserve">10/share to </w:t>
      </w:r>
      <w:r>
        <w:rPr>
          <w:spacing w:val="-9"/>
        </w:rPr>
        <w:t>CN¥1</w:t>
      </w:r>
      <w:r>
        <w:t>3.53/share, which took effect on January</w:t>
      </w:r>
      <w:r>
        <w:rPr>
          <w:spacing w:val="0"/>
        </w:rPr>
        <w:t xml:space="preserve"> </w:t>
      </w:r>
      <w:r>
        <w:t>27, 2022.</w:t>
      </w:r>
    </w:p>
    <w:p>
      <w:pPr>
        <w:pStyle w:val="4"/>
        <w:spacing w:before="181" w:line="384" w:lineRule="auto"/>
        <w:ind w:left="552" w:right="571" w:firstLine="480"/>
        <w:jc w:val="both"/>
      </w:pPr>
      <w:r>
        <w:t xml:space="preserve">In May 2022, the Company implemented the dividend distribution plan for 2021 pursuant to the resolution of the Company’s General Meeting 2021. After the implementation, the Shenghong Convertible </w:t>
      </w:r>
      <w:r>
        <w:rPr>
          <w:spacing w:val="-3"/>
        </w:rPr>
        <w:t xml:space="preserve">Bond’s </w:t>
      </w:r>
      <w:r>
        <w:t xml:space="preserve">conversion price was adjusted from CN¥13.53/share to </w:t>
      </w:r>
      <w:r>
        <w:rPr>
          <w:spacing w:val="-9"/>
        </w:rPr>
        <w:t>CN¥1</w:t>
      </w:r>
      <w:r>
        <w:t>3.38/share, which took effect on May 27,</w:t>
      </w:r>
      <w:r>
        <w:rPr>
          <w:spacing w:val="-5"/>
        </w:rPr>
        <w:t xml:space="preserve"> </w:t>
      </w:r>
      <w:r>
        <w:t>2022.</w:t>
      </w:r>
    </w:p>
    <w:p>
      <w:pPr>
        <w:pStyle w:val="4"/>
        <w:spacing w:before="183" w:line="381" w:lineRule="auto"/>
        <w:ind w:left="552" w:right="570" w:firstLine="480"/>
        <w:jc w:val="both"/>
      </w:pPr>
      <w:r>
        <w:t>In July 2022, the Company offered 266,714,109 Renminbi common shares in a non-public manner to raise supporting funds pursuant to the CSRC’s Reply to the Approval of the Share Offering by Jiangsu Eastern Shenghong Co., Ltd. to Shenghong Petrochemical Group Co., Ltd. and Other Parties to Purchase Assets and Raise Supporting Funds (CSRC Approval [2021] No. 4179). After the listing of the additional shares, the Shenghong Convertible Bond’s conversion price was adjusted from CN¥13.38/share to CN¥13. 46/share, which took effect on July 20, 2022.</w:t>
      </w:r>
    </w:p>
    <w:p>
      <w:pPr>
        <w:pStyle w:val="4"/>
        <w:spacing w:before="200"/>
        <w:ind w:left="1033"/>
        <w:jc w:val="both"/>
      </w:pPr>
      <w:r>
        <w:t>In December 2022, the Company issued 39,794,000 Global Depositary Receipts (hereinafter</w:t>
      </w:r>
    </w:p>
    <w:p>
      <w:pPr>
        <w:jc w:val="both"/>
        <w:sectPr>
          <w:pgSz w:w="11910" w:h="16840"/>
          <w:pgMar w:top="1180" w:right="560" w:bottom="1420" w:left="580" w:header="0" w:footer="1231" w:gutter="0"/>
          <w:cols w:space="720" w:num="1"/>
        </w:sectPr>
      </w:pPr>
    </w:p>
    <w:p>
      <w:pPr>
        <w:pStyle w:val="4"/>
        <w:spacing w:before="63" w:line="384" w:lineRule="auto"/>
        <w:ind w:left="552" w:right="516"/>
      </w:pPr>
      <w:r>
        <w:t xml:space="preserve">referred to as “GDRs”) pursuant to </w:t>
      </w:r>
      <w:r>
        <w:rPr>
          <w:spacing w:val="-3"/>
        </w:rPr>
        <w:t xml:space="preserve">CSRC’s </w:t>
      </w:r>
      <w:r>
        <w:t xml:space="preserve">Reply to the Approval of the IPO and Admission of GDRs on the SIX Swiss Exchange by Jiangsu Eastern Shenghong Co., Ltd. (CSRC Approval [2022] No. 3151). Each of the GDRs represented 10 of the Company’s A shares, and the GDRs issued represented 397,940,000 A shares as additional underlying domestic securities. After the listing of the additional shares, the Shenghong Convertible </w:t>
      </w:r>
      <w:r>
        <w:rPr>
          <w:spacing w:val="-3"/>
        </w:rPr>
        <w:t xml:space="preserve">Bond’s </w:t>
      </w:r>
      <w:r>
        <w:t xml:space="preserve">conversion price was adjusted from </w:t>
      </w:r>
      <w:r>
        <w:rPr>
          <w:spacing w:val="-6"/>
        </w:rPr>
        <w:t xml:space="preserve">CN¥13. </w:t>
      </w:r>
      <w:r>
        <w:t xml:space="preserve">46/share to </w:t>
      </w:r>
      <w:r>
        <w:rPr>
          <w:spacing w:val="-5"/>
        </w:rPr>
        <w:t>CN¥13.4</w:t>
      </w:r>
      <w:r>
        <w:rPr>
          <w:spacing w:val="-49"/>
        </w:rPr>
        <w:t xml:space="preserve"> </w:t>
      </w:r>
      <w:r>
        <w:t>1/share, which took effect on December 28, 2022.</w:t>
      </w:r>
    </w:p>
    <w:p>
      <w:pPr>
        <w:pStyle w:val="4"/>
        <w:spacing w:before="180" w:line="384" w:lineRule="auto"/>
        <w:ind w:left="552" w:right="571" w:firstLine="480"/>
        <w:jc w:val="both"/>
      </w:pPr>
      <w:r>
        <w:t xml:space="preserve">In May 2023, the Company implemented the dividend distribution plan for 2022 pursuant to the resolution of the Company’s General Meeting 2022. After the implementation, the Shenghong Convertible </w:t>
      </w:r>
      <w:r>
        <w:rPr>
          <w:spacing w:val="-3"/>
        </w:rPr>
        <w:t xml:space="preserve">Bond’s </w:t>
      </w:r>
      <w:r>
        <w:t xml:space="preserve">conversion price was adjusted from CN¥13.41/share to </w:t>
      </w:r>
      <w:r>
        <w:rPr>
          <w:spacing w:val="-5"/>
        </w:rPr>
        <w:t>CN¥13.3</w:t>
      </w:r>
      <w:r>
        <w:t>1/share, which took effect on May 22,</w:t>
      </w:r>
      <w:r>
        <w:rPr>
          <w:spacing w:val="-6"/>
        </w:rPr>
        <w:t xml:space="preserve"> </w:t>
      </w:r>
      <w:r>
        <w:t>2023.</w:t>
      </w:r>
    </w:p>
    <w:p>
      <w:pPr>
        <w:pStyle w:val="4"/>
        <w:spacing w:before="180" w:line="384" w:lineRule="auto"/>
        <w:ind w:left="552" w:right="571" w:firstLine="480"/>
        <w:jc w:val="both"/>
      </w:pPr>
      <w:r>
        <w:t xml:space="preserve">In </w:t>
      </w:r>
      <w:r>
        <w:rPr>
          <w:rFonts w:hint="eastAsia" w:eastAsia="宋体"/>
          <w:lang w:eastAsia="zh-CN"/>
        </w:rPr>
        <w:t>June</w:t>
      </w:r>
      <w:r>
        <w:t xml:space="preserve"> 202</w:t>
      </w:r>
      <w:r>
        <w:rPr>
          <w:rFonts w:hint="eastAsia" w:eastAsia="宋体"/>
          <w:lang w:eastAsia="zh-CN"/>
        </w:rPr>
        <w:t>4</w:t>
      </w:r>
      <w:r>
        <w:t>, the Company implemented the dividend distribution plan for 202</w:t>
      </w:r>
      <w:r>
        <w:rPr>
          <w:rFonts w:hint="eastAsia" w:eastAsia="宋体"/>
          <w:lang w:eastAsia="zh-CN"/>
        </w:rPr>
        <w:t>3</w:t>
      </w:r>
      <w:r>
        <w:t xml:space="preserve"> pursuant to the resolution of the Company’s General Meeting 202</w:t>
      </w:r>
      <w:r>
        <w:rPr>
          <w:rFonts w:hint="eastAsia" w:eastAsia="宋体"/>
          <w:lang w:eastAsia="zh-CN"/>
        </w:rPr>
        <w:t>3</w:t>
      </w:r>
      <w:r>
        <w:t xml:space="preserve">. After the implementation, the Shenghong Convertible </w:t>
      </w:r>
      <w:r>
        <w:rPr>
          <w:spacing w:val="-3"/>
        </w:rPr>
        <w:t xml:space="preserve">Bond’s </w:t>
      </w:r>
      <w:r>
        <w:t>conversion price was adjusted from CN¥13.</w:t>
      </w:r>
      <w:r>
        <w:rPr>
          <w:rFonts w:hint="eastAsia" w:eastAsia="宋体"/>
          <w:lang w:eastAsia="zh-CN"/>
        </w:rPr>
        <w:t>3</w:t>
      </w:r>
      <w:r>
        <w:t xml:space="preserve">1/share to </w:t>
      </w:r>
      <w:r>
        <w:rPr>
          <w:spacing w:val="-5"/>
        </w:rPr>
        <w:t>CN¥13.</w:t>
      </w:r>
      <w:r>
        <w:rPr>
          <w:rFonts w:hint="eastAsia" w:eastAsia="宋体"/>
          <w:spacing w:val="-5"/>
          <w:lang w:eastAsia="zh-CN"/>
        </w:rPr>
        <w:t>2</w:t>
      </w:r>
      <w:r>
        <w:t xml:space="preserve">1/share, which took effect on </w:t>
      </w:r>
      <w:r>
        <w:rPr>
          <w:rFonts w:hint="eastAsia" w:eastAsia="宋体"/>
          <w:lang w:eastAsia="zh-CN"/>
        </w:rPr>
        <w:t>June</w:t>
      </w:r>
      <w:r>
        <w:t xml:space="preserve"> </w:t>
      </w:r>
      <w:r>
        <w:rPr>
          <w:rFonts w:hint="eastAsia" w:eastAsia="宋体"/>
          <w:lang w:eastAsia="zh-CN"/>
        </w:rPr>
        <w:t>7</w:t>
      </w:r>
      <w:r>
        <w:t>,</w:t>
      </w:r>
      <w:r>
        <w:rPr>
          <w:spacing w:val="-6"/>
        </w:rPr>
        <w:t xml:space="preserve"> </w:t>
      </w:r>
      <w:r>
        <w:t>202</w:t>
      </w:r>
      <w:r>
        <w:rPr>
          <w:rFonts w:hint="eastAsia" w:eastAsia="宋体"/>
          <w:lang w:eastAsia="zh-CN"/>
        </w:rPr>
        <w:t>4</w:t>
      </w:r>
      <w:r>
        <w:t>.</w:t>
      </w:r>
    </w:p>
    <w:p>
      <w:pPr>
        <w:pStyle w:val="3"/>
        <w:keepNext w:val="0"/>
        <w:keepLines w:val="0"/>
        <w:pageBreakBefore w:val="0"/>
        <w:widowControl w:val="0"/>
        <w:numPr>
          <w:ilvl w:val="0"/>
          <w:numId w:val="0"/>
        </w:numPr>
        <w:tabs>
          <w:tab w:val="left" w:pos="1492"/>
        </w:tabs>
        <w:kinsoku/>
        <w:wordWrap/>
        <w:overflowPunct/>
        <w:topLinePunct w:val="0"/>
        <w:autoSpaceDE w:val="0"/>
        <w:autoSpaceDN w:val="0"/>
        <w:bidi w:val="0"/>
        <w:adjustRightInd/>
        <w:snapToGrid/>
        <w:spacing w:before="186" w:line="382" w:lineRule="auto"/>
        <w:ind w:left="550" w:leftChars="250" w:right="0" w:rightChars="0" w:firstLine="482" w:firstLineChars="200"/>
        <w:jc w:val="both"/>
        <w:textAlignment w:val="auto"/>
      </w:pPr>
      <w:r>
        <w:rPr>
          <w:rFonts w:hint="default" w:ascii="Times New Roman" w:hAnsi="Times New Roman" w:eastAsia="宋体" w:cs="Times New Roman"/>
          <w:lang w:val="en-US" w:eastAsia="zh-CN"/>
        </w:rPr>
        <w:t xml:space="preserve">Ⅲ. </w:t>
      </w:r>
      <w:r>
        <w:t>Conversion of the Shenghong Convertible Bond and Changes in the Company’s Shares</w:t>
      </w:r>
    </w:p>
    <w:p>
      <w:pPr>
        <w:pStyle w:val="4"/>
        <w:spacing w:before="193" w:line="381" w:lineRule="auto"/>
        <w:ind w:left="552" w:right="508" w:firstLine="480"/>
      </w:pPr>
      <w:r>
        <w:t xml:space="preserve">In the </w:t>
      </w:r>
      <w:r>
        <w:rPr>
          <w:rFonts w:hint="eastAsia" w:eastAsia="宋体"/>
          <w:lang w:val="en-US" w:eastAsia="zh-CN"/>
        </w:rPr>
        <w:t>first</w:t>
      </w:r>
      <w:r>
        <w:t xml:space="preserve"> quarter of </w:t>
      </w:r>
      <w:r>
        <w:rPr>
          <w:rFonts w:hint="eastAsia" w:eastAsia="宋体"/>
          <w:lang w:eastAsia="zh-CN"/>
        </w:rPr>
        <w:t>202</w:t>
      </w:r>
      <w:r>
        <w:rPr>
          <w:rFonts w:hint="eastAsia" w:eastAsia="宋体"/>
          <w:lang w:val="en-US" w:eastAsia="zh-CN"/>
        </w:rPr>
        <w:t>5</w:t>
      </w:r>
      <w:r>
        <w:rPr>
          <w:rFonts w:hint="eastAsia" w:eastAsia="宋体"/>
          <w:lang w:eastAsia="zh-CN"/>
        </w:rPr>
        <w:t>,</w:t>
      </w:r>
      <w:r>
        <w:t xml:space="preserve"> the Shenghong Convertible Bond decreased by </w:t>
      </w:r>
      <w:r>
        <w:rPr>
          <w:rFonts w:hint="eastAsia" w:eastAsia="宋体"/>
          <w:lang w:val="en-US" w:eastAsia="zh-CN"/>
        </w:rPr>
        <w:t>139</w:t>
      </w:r>
      <w:r>
        <w:t xml:space="preserve"> bonds due to conversion, the amount of the Convertible Bonds decreased by CN¥</w:t>
      </w:r>
      <w:r>
        <w:rPr>
          <w:rFonts w:hint="eastAsia" w:eastAsia="宋体"/>
          <w:lang w:val="en-US" w:eastAsia="zh-CN"/>
        </w:rPr>
        <w:t>13</w:t>
      </w:r>
      <w:r>
        <w:t>,</w:t>
      </w:r>
      <w:r>
        <w:rPr>
          <w:rFonts w:hint="eastAsia" w:eastAsia="宋体"/>
          <w:lang w:val="en-US" w:eastAsia="zh-CN"/>
        </w:rPr>
        <w:t>9</w:t>
      </w:r>
      <w:r>
        <w:t xml:space="preserve">00, and </w:t>
      </w:r>
      <w:r>
        <w:rPr>
          <w:rFonts w:hint="eastAsia" w:eastAsia="宋体"/>
          <w:lang w:val="en-US" w:eastAsia="zh-CN"/>
        </w:rPr>
        <w:t>1</w:t>
      </w:r>
      <w:r>
        <w:rPr>
          <w:rFonts w:hint="eastAsia" w:eastAsia="宋体"/>
          <w:lang w:eastAsia="zh-CN"/>
        </w:rPr>
        <w:t>,</w:t>
      </w:r>
      <w:r>
        <w:rPr>
          <w:rFonts w:hint="eastAsia" w:eastAsia="宋体"/>
          <w:lang w:val="en-US" w:eastAsia="zh-CN"/>
        </w:rPr>
        <w:t>051</w:t>
      </w:r>
      <w:r>
        <w:t xml:space="preserve"> shares were converted. As of</w:t>
      </w:r>
      <w:r>
        <w:rPr>
          <w:rFonts w:hint="eastAsia" w:eastAsia="宋体"/>
          <w:lang w:eastAsia="zh-CN"/>
        </w:rPr>
        <w:t xml:space="preserve"> </w:t>
      </w:r>
      <w:r>
        <w:rPr>
          <w:rFonts w:hint="eastAsia" w:eastAsia="宋体"/>
          <w:lang w:val="en-US" w:eastAsia="zh-CN"/>
        </w:rPr>
        <w:t>March</w:t>
      </w:r>
      <w:r>
        <w:t xml:space="preserve"> </w:t>
      </w:r>
      <w:r>
        <w:rPr>
          <w:rFonts w:hint="eastAsia" w:eastAsia="宋体"/>
          <w:lang w:eastAsia="zh-CN"/>
        </w:rPr>
        <w:t>31</w:t>
      </w:r>
      <w:r>
        <w:t xml:space="preserve">, </w:t>
      </w:r>
      <w:r>
        <w:rPr>
          <w:rFonts w:hint="eastAsia" w:eastAsia="宋体"/>
          <w:lang w:eastAsia="zh-CN"/>
        </w:rPr>
        <w:t>202</w:t>
      </w:r>
      <w:r>
        <w:rPr>
          <w:rFonts w:hint="eastAsia" w:eastAsia="宋体"/>
          <w:lang w:val="en-US" w:eastAsia="zh-CN"/>
        </w:rPr>
        <w:t>5</w:t>
      </w:r>
      <w:r>
        <w:t>, the Shenghong Convertible Bonds had 49,97</w:t>
      </w:r>
      <w:r>
        <w:rPr>
          <w:rFonts w:hint="eastAsia" w:eastAsia="宋体"/>
          <w:lang w:eastAsia="zh-CN"/>
        </w:rPr>
        <w:t>5</w:t>
      </w:r>
      <w:r>
        <w:t>,</w:t>
      </w:r>
      <w:r>
        <w:rPr>
          <w:rFonts w:hint="eastAsia" w:eastAsia="宋体"/>
          <w:lang w:val="en-US" w:eastAsia="zh-CN"/>
        </w:rPr>
        <w:t>603</w:t>
      </w:r>
      <w:r>
        <w:t xml:space="preserve"> bonds remaining, amounting to CN¥4,997,</w:t>
      </w:r>
      <w:r>
        <w:rPr>
          <w:rFonts w:hint="eastAsia" w:eastAsia="宋体"/>
          <w:lang w:eastAsia="zh-CN"/>
        </w:rPr>
        <w:t>5</w:t>
      </w:r>
      <w:r>
        <w:rPr>
          <w:rFonts w:hint="eastAsia" w:eastAsia="宋体"/>
          <w:lang w:val="en-US" w:eastAsia="zh-CN"/>
        </w:rPr>
        <w:t>60</w:t>
      </w:r>
      <w:r>
        <w:t>,</w:t>
      </w:r>
      <w:r>
        <w:rPr>
          <w:rFonts w:hint="eastAsia" w:eastAsia="宋体"/>
          <w:lang w:val="en-US" w:eastAsia="zh-CN"/>
        </w:rPr>
        <w:t>3</w:t>
      </w:r>
      <w:r>
        <w:t xml:space="preserve">00. Changes in the Company’s shares in the </w:t>
      </w:r>
      <w:r>
        <w:rPr>
          <w:rFonts w:hint="eastAsia" w:eastAsia="宋体"/>
          <w:lang w:eastAsia="zh-CN"/>
        </w:rPr>
        <w:t>f</w:t>
      </w:r>
      <w:r>
        <w:rPr>
          <w:rFonts w:hint="eastAsia" w:eastAsia="宋体"/>
          <w:lang w:val="en-US" w:eastAsia="zh-CN"/>
        </w:rPr>
        <w:t>irst</w:t>
      </w:r>
      <w:r>
        <w:t xml:space="preserve"> quarter of </w:t>
      </w:r>
      <w:r>
        <w:rPr>
          <w:rFonts w:hint="eastAsia" w:eastAsia="宋体"/>
          <w:lang w:eastAsia="zh-CN"/>
        </w:rPr>
        <w:t>202</w:t>
      </w:r>
      <w:r>
        <w:rPr>
          <w:rFonts w:hint="eastAsia" w:eastAsia="宋体"/>
          <w:lang w:val="en-US" w:eastAsia="zh-CN"/>
        </w:rPr>
        <w:t>5</w:t>
      </w:r>
      <w:r>
        <w:t xml:space="preserve"> are as</w:t>
      </w:r>
      <w:r>
        <w:rPr>
          <w:spacing w:val="-1"/>
        </w:rPr>
        <w:t xml:space="preserve"> </w:t>
      </w:r>
      <w:r>
        <w:t>follows:</w:t>
      </w:r>
    </w:p>
    <w:p>
      <w:pPr>
        <w:spacing w:before="222"/>
        <w:ind w:right="568"/>
        <w:jc w:val="right"/>
        <w:rPr>
          <w:sz w:val="21"/>
        </w:rPr>
      </w:pPr>
      <w:r>
        <w:rPr>
          <w:sz w:val="21"/>
        </w:rPr>
        <w:t>Unit:</w:t>
      </w:r>
      <w:r>
        <w:rPr>
          <w:spacing w:val="51"/>
          <w:sz w:val="21"/>
        </w:rPr>
        <w:t xml:space="preserve"> </w:t>
      </w:r>
      <w:r>
        <w:rPr>
          <w:sz w:val="21"/>
        </w:rPr>
        <w:t>share</w:t>
      </w:r>
    </w:p>
    <w:p>
      <w:pPr>
        <w:pStyle w:val="4"/>
        <w:spacing w:before="1" w:after="1"/>
        <w:rPr>
          <w:sz w:val="12"/>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8"/>
        <w:gridCol w:w="1605"/>
        <w:gridCol w:w="1356"/>
        <w:gridCol w:w="2002"/>
        <w:gridCol w:w="1622"/>
        <w:gridCol w:w="12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1778" w:type="dxa"/>
            <w:vMerge w:val="restart"/>
          </w:tcPr>
          <w:p>
            <w:pPr>
              <w:pStyle w:val="9"/>
              <w:rPr>
                <w:sz w:val="20"/>
              </w:rPr>
            </w:pPr>
          </w:p>
          <w:p>
            <w:pPr>
              <w:pStyle w:val="9"/>
              <w:spacing w:before="4"/>
            </w:pPr>
          </w:p>
          <w:p>
            <w:pPr>
              <w:pStyle w:val="9"/>
              <w:ind w:left="367"/>
              <w:rPr>
                <w:b/>
                <w:sz w:val="18"/>
              </w:rPr>
            </w:pPr>
            <w:r>
              <w:rPr>
                <w:b/>
                <w:sz w:val="18"/>
              </w:rPr>
              <w:t>Share Nature</w:t>
            </w:r>
          </w:p>
        </w:tc>
        <w:tc>
          <w:tcPr>
            <w:tcW w:w="2961" w:type="dxa"/>
            <w:gridSpan w:val="2"/>
          </w:tcPr>
          <w:p>
            <w:pPr>
              <w:pStyle w:val="9"/>
              <w:spacing w:before="100"/>
              <w:ind w:left="760"/>
              <w:rPr>
                <w:b/>
                <w:sz w:val="18"/>
              </w:rPr>
            </w:pPr>
            <w:r>
              <w:rPr>
                <w:b/>
                <w:sz w:val="18"/>
              </w:rPr>
              <w:t>Before the Change</w:t>
            </w:r>
          </w:p>
          <w:p>
            <w:pPr>
              <w:pStyle w:val="9"/>
              <w:spacing w:before="100"/>
              <w:jc w:val="center"/>
              <w:rPr>
                <w:rFonts w:eastAsia="宋体"/>
                <w:b/>
                <w:sz w:val="18"/>
                <w:lang w:eastAsia="zh-CN"/>
              </w:rPr>
            </w:pPr>
            <w:r>
              <w:rPr>
                <w:rFonts w:hint="eastAsia" w:eastAsia="宋体"/>
                <w:b/>
                <w:sz w:val="18"/>
                <w:lang w:eastAsia="zh-CN"/>
              </w:rPr>
              <w:t>（December 31, 2024）</w:t>
            </w:r>
          </w:p>
        </w:tc>
        <w:tc>
          <w:tcPr>
            <w:tcW w:w="2002" w:type="dxa"/>
            <w:vMerge w:val="restart"/>
          </w:tcPr>
          <w:p>
            <w:pPr>
              <w:pStyle w:val="9"/>
              <w:spacing w:before="7"/>
              <w:rPr>
                <w:sz w:val="25"/>
              </w:rPr>
            </w:pPr>
          </w:p>
          <w:p>
            <w:pPr>
              <w:pStyle w:val="9"/>
              <w:spacing w:line="441" w:lineRule="auto"/>
              <w:ind w:left="703" w:right="691"/>
              <w:jc w:val="center"/>
              <w:rPr>
                <w:b/>
                <w:sz w:val="18"/>
              </w:rPr>
            </w:pPr>
            <w:r>
              <w:rPr>
                <w:b/>
                <w:sz w:val="18"/>
              </w:rPr>
              <w:t>Change (+, -)</w:t>
            </w:r>
          </w:p>
        </w:tc>
        <w:tc>
          <w:tcPr>
            <w:tcW w:w="2878" w:type="dxa"/>
            <w:gridSpan w:val="2"/>
          </w:tcPr>
          <w:p>
            <w:pPr>
              <w:pStyle w:val="9"/>
              <w:spacing w:before="100"/>
              <w:ind w:left="767"/>
              <w:rPr>
                <w:b/>
                <w:sz w:val="18"/>
              </w:rPr>
            </w:pPr>
            <w:r>
              <w:rPr>
                <w:b/>
                <w:sz w:val="18"/>
              </w:rPr>
              <w:t>After the Change</w:t>
            </w:r>
          </w:p>
          <w:p>
            <w:pPr>
              <w:pStyle w:val="9"/>
              <w:spacing w:before="100"/>
              <w:ind w:left="767"/>
              <w:rPr>
                <w:rFonts w:eastAsia="宋体"/>
                <w:b/>
                <w:sz w:val="18"/>
                <w:lang w:eastAsia="zh-CN"/>
              </w:rPr>
            </w:pPr>
            <w:r>
              <w:rPr>
                <w:rFonts w:hint="eastAsia" w:eastAsia="宋体"/>
                <w:b/>
                <w:sz w:val="18"/>
                <w:lang w:eastAsia="zh-CN"/>
              </w:rPr>
              <w:t>(</w:t>
            </w:r>
            <w:r>
              <w:rPr>
                <w:rFonts w:hint="eastAsia" w:eastAsia="宋体"/>
                <w:b/>
                <w:sz w:val="18"/>
                <w:lang w:val="en-US" w:eastAsia="zh-CN"/>
              </w:rPr>
              <w:t>March</w:t>
            </w:r>
            <w:r>
              <w:rPr>
                <w:rFonts w:hint="eastAsia" w:eastAsia="宋体"/>
                <w:b/>
                <w:sz w:val="18"/>
                <w:lang w:eastAsia="zh-CN"/>
              </w:rPr>
              <w:t xml:space="preserve"> 31, 202</w:t>
            </w:r>
            <w:r>
              <w:rPr>
                <w:rFonts w:hint="eastAsia" w:eastAsia="宋体"/>
                <w:b/>
                <w:sz w:val="18"/>
                <w:lang w:val="en-US" w:eastAsia="zh-CN"/>
              </w:rPr>
              <w:t>5</w:t>
            </w:r>
            <w:r>
              <w:rPr>
                <w:rFonts w:hint="eastAsia" w:eastAsia="宋体"/>
                <w:b/>
                <w:sz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1778" w:type="dxa"/>
            <w:vMerge w:val="continue"/>
            <w:tcBorders>
              <w:top w:val="nil"/>
            </w:tcBorders>
          </w:tcPr>
          <w:p>
            <w:pPr>
              <w:rPr>
                <w:sz w:val="2"/>
                <w:szCs w:val="2"/>
              </w:rPr>
            </w:pPr>
          </w:p>
        </w:tc>
        <w:tc>
          <w:tcPr>
            <w:tcW w:w="1605" w:type="dxa"/>
          </w:tcPr>
          <w:p>
            <w:pPr>
              <w:pStyle w:val="9"/>
              <w:spacing w:before="2"/>
              <w:rPr>
                <w:sz w:val="24"/>
              </w:rPr>
            </w:pPr>
          </w:p>
          <w:p>
            <w:pPr>
              <w:pStyle w:val="9"/>
              <w:ind w:left="476"/>
              <w:rPr>
                <w:b/>
                <w:sz w:val="18"/>
              </w:rPr>
            </w:pPr>
            <w:r>
              <w:rPr>
                <w:b/>
                <w:sz w:val="18"/>
              </w:rPr>
              <w:t>Number</w:t>
            </w:r>
          </w:p>
        </w:tc>
        <w:tc>
          <w:tcPr>
            <w:tcW w:w="1356" w:type="dxa"/>
          </w:tcPr>
          <w:p>
            <w:pPr>
              <w:pStyle w:val="9"/>
              <w:spacing w:before="88"/>
              <w:ind w:left="230" w:right="220"/>
              <w:jc w:val="center"/>
              <w:rPr>
                <w:b/>
                <w:sz w:val="18"/>
              </w:rPr>
            </w:pPr>
            <w:r>
              <w:rPr>
                <w:b/>
                <w:sz w:val="18"/>
              </w:rPr>
              <w:t>Proportion</w:t>
            </w:r>
          </w:p>
          <w:p>
            <w:pPr>
              <w:pStyle w:val="9"/>
              <w:spacing w:before="175"/>
              <w:ind w:left="226" w:right="220"/>
              <w:jc w:val="center"/>
              <w:rPr>
                <w:b/>
                <w:sz w:val="18"/>
              </w:rPr>
            </w:pPr>
            <w:r>
              <w:rPr>
                <w:b/>
                <w:sz w:val="18"/>
              </w:rPr>
              <w:t>(%)</w:t>
            </w:r>
          </w:p>
        </w:tc>
        <w:tc>
          <w:tcPr>
            <w:tcW w:w="2002" w:type="dxa"/>
            <w:vMerge w:val="continue"/>
            <w:tcBorders>
              <w:top w:val="nil"/>
            </w:tcBorders>
          </w:tcPr>
          <w:p>
            <w:pPr>
              <w:rPr>
                <w:sz w:val="2"/>
                <w:szCs w:val="2"/>
              </w:rPr>
            </w:pPr>
          </w:p>
        </w:tc>
        <w:tc>
          <w:tcPr>
            <w:tcW w:w="1622" w:type="dxa"/>
          </w:tcPr>
          <w:p>
            <w:pPr>
              <w:pStyle w:val="9"/>
              <w:spacing w:before="2"/>
              <w:rPr>
                <w:sz w:val="24"/>
              </w:rPr>
            </w:pPr>
          </w:p>
          <w:p>
            <w:pPr>
              <w:pStyle w:val="9"/>
              <w:ind w:left="486"/>
              <w:rPr>
                <w:b/>
                <w:sz w:val="18"/>
              </w:rPr>
            </w:pPr>
            <w:r>
              <w:rPr>
                <w:b/>
                <w:sz w:val="18"/>
              </w:rPr>
              <w:t>Number</w:t>
            </w:r>
          </w:p>
        </w:tc>
        <w:tc>
          <w:tcPr>
            <w:tcW w:w="1256" w:type="dxa"/>
          </w:tcPr>
          <w:p>
            <w:pPr>
              <w:pStyle w:val="9"/>
              <w:spacing w:before="88"/>
              <w:ind w:left="179" w:right="171"/>
              <w:jc w:val="center"/>
              <w:rPr>
                <w:b/>
                <w:sz w:val="18"/>
              </w:rPr>
            </w:pPr>
            <w:r>
              <w:rPr>
                <w:b/>
                <w:sz w:val="18"/>
              </w:rPr>
              <w:t>Proportion</w:t>
            </w:r>
          </w:p>
          <w:p>
            <w:pPr>
              <w:pStyle w:val="9"/>
              <w:spacing w:before="175"/>
              <w:ind w:left="176" w:right="171"/>
              <w:jc w:val="center"/>
              <w:rPr>
                <w:b/>
                <w:sz w:val="18"/>
              </w:rPr>
            </w:pPr>
            <w:r>
              <w:rPr>
                <w:b/>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5" w:hRule="atLeast"/>
          <w:jc w:val="center"/>
        </w:trPr>
        <w:tc>
          <w:tcPr>
            <w:tcW w:w="1778" w:type="dxa"/>
          </w:tcPr>
          <w:p>
            <w:pPr>
              <w:pStyle w:val="9"/>
              <w:spacing w:before="89" w:line="441" w:lineRule="auto"/>
              <w:ind w:left="107" w:right="153"/>
              <w:rPr>
                <w:b/>
                <w:sz w:val="18"/>
              </w:rPr>
            </w:pPr>
            <w:bookmarkStart w:id="0" w:name="_Hlk147676568"/>
            <w:r>
              <w:rPr>
                <w:b/>
                <w:sz w:val="18"/>
              </w:rPr>
              <w:t>I. Restricted outstanding/non-outstanding shares</w:t>
            </w:r>
          </w:p>
        </w:tc>
        <w:tc>
          <w:tcPr>
            <w:tcW w:w="1605" w:type="dxa"/>
            <w:vAlign w:val="center"/>
          </w:tcPr>
          <w:p>
            <w:pPr>
              <w:pStyle w:val="9"/>
              <w:ind w:right="95"/>
              <w:jc w:val="right"/>
              <w:rPr>
                <w:rFonts w:hint="eastAsia"/>
                <w:sz w:val="18"/>
              </w:rPr>
            </w:pPr>
            <w:r>
              <w:rPr>
                <w:rFonts w:hint="eastAsia"/>
                <w:sz w:val="18"/>
              </w:rPr>
              <w:t>1,114,202,898.00</w:t>
            </w:r>
          </w:p>
        </w:tc>
        <w:tc>
          <w:tcPr>
            <w:tcW w:w="1356" w:type="dxa"/>
            <w:vAlign w:val="center"/>
          </w:tcPr>
          <w:p>
            <w:pPr>
              <w:pStyle w:val="9"/>
              <w:ind w:right="95"/>
              <w:jc w:val="right"/>
              <w:rPr>
                <w:rFonts w:hint="eastAsia"/>
                <w:sz w:val="18"/>
              </w:rPr>
            </w:pPr>
            <w:r>
              <w:rPr>
                <w:rFonts w:hint="eastAsia"/>
                <w:sz w:val="18"/>
              </w:rPr>
              <w:t>16.85</w:t>
            </w:r>
          </w:p>
        </w:tc>
        <w:tc>
          <w:tcPr>
            <w:tcW w:w="2002" w:type="dxa"/>
            <w:vAlign w:val="center"/>
          </w:tcPr>
          <w:p>
            <w:pPr>
              <w:pStyle w:val="9"/>
              <w:ind w:right="95"/>
              <w:jc w:val="right"/>
              <w:rPr>
                <w:rFonts w:hint="eastAsia"/>
                <w:sz w:val="18"/>
                <w:lang w:val="en-US" w:eastAsia="zh-CN"/>
              </w:rPr>
            </w:pPr>
            <w:r>
              <w:rPr>
                <w:rFonts w:hint="eastAsia"/>
                <w:sz w:val="18"/>
                <w:lang w:val="en-US" w:eastAsia="zh-CN"/>
              </w:rPr>
              <w:t>-</w:t>
            </w:r>
            <w:r>
              <w:rPr>
                <w:rFonts w:hint="eastAsia"/>
                <w:sz w:val="18"/>
              </w:rPr>
              <w:t>1,111,528,326.00</w:t>
            </w:r>
          </w:p>
        </w:tc>
        <w:tc>
          <w:tcPr>
            <w:tcW w:w="1622" w:type="dxa"/>
            <w:vAlign w:val="center"/>
          </w:tcPr>
          <w:p>
            <w:pPr>
              <w:pStyle w:val="9"/>
              <w:ind w:right="95"/>
              <w:jc w:val="right"/>
              <w:rPr>
                <w:rFonts w:hint="eastAsia"/>
                <w:sz w:val="18"/>
                <w:lang w:val="en-US" w:eastAsia="zh-CN"/>
              </w:rPr>
            </w:pPr>
            <w:r>
              <w:rPr>
                <w:rFonts w:hint="eastAsia"/>
                <w:sz w:val="18"/>
              </w:rPr>
              <w:t>2,674,572.00</w:t>
            </w:r>
          </w:p>
        </w:tc>
        <w:tc>
          <w:tcPr>
            <w:tcW w:w="1256" w:type="dxa"/>
            <w:vAlign w:val="center"/>
          </w:tcPr>
          <w:p>
            <w:pPr>
              <w:pStyle w:val="9"/>
              <w:ind w:right="95"/>
              <w:jc w:val="right"/>
              <w:rPr>
                <w:rFonts w:hint="default"/>
                <w:sz w:val="18"/>
                <w:lang w:val="en-US" w:eastAsia="zh-CN"/>
              </w:rPr>
            </w:pPr>
            <w:r>
              <w:rPr>
                <w:rFonts w:hint="eastAsia"/>
                <w:sz w:val="18"/>
              </w:rPr>
              <w:t>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1778" w:type="dxa"/>
          </w:tcPr>
          <w:p>
            <w:pPr>
              <w:pStyle w:val="9"/>
              <w:spacing w:before="83"/>
              <w:ind w:left="107"/>
              <w:rPr>
                <w:sz w:val="18"/>
              </w:rPr>
            </w:pPr>
            <w:r>
              <w:rPr>
                <w:sz w:val="18"/>
              </w:rPr>
              <w:t>Executive lock-up</w:t>
            </w:r>
            <w:r>
              <w:rPr>
                <w:rFonts w:hint="eastAsia" w:eastAsia="宋体"/>
                <w:sz w:val="18"/>
                <w:lang w:val="en-US" w:eastAsia="zh-CN"/>
              </w:rPr>
              <w:t xml:space="preserve"> </w:t>
            </w:r>
            <w:r>
              <w:rPr>
                <w:sz w:val="18"/>
              </w:rPr>
              <w:t>shares</w:t>
            </w:r>
          </w:p>
        </w:tc>
        <w:tc>
          <w:tcPr>
            <w:tcW w:w="1605" w:type="dxa"/>
            <w:vAlign w:val="center"/>
          </w:tcPr>
          <w:p>
            <w:pPr>
              <w:pStyle w:val="9"/>
              <w:ind w:right="95"/>
              <w:jc w:val="right"/>
              <w:rPr>
                <w:rFonts w:hint="eastAsia"/>
                <w:sz w:val="18"/>
              </w:rPr>
            </w:pPr>
            <w:r>
              <w:rPr>
                <w:rFonts w:hint="eastAsia"/>
                <w:sz w:val="18"/>
              </w:rPr>
              <w:t>2,674,572.00</w:t>
            </w:r>
          </w:p>
        </w:tc>
        <w:tc>
          <w:tcPr>
            <w:tcW w:w="1356" w:type="dxa"/>
            <w:vAlign w:val="center"/>
          </w:tcPr>
          <w:p>
            <w:pPr>
              <w:pStyle w:val="9"/>
              <w:ind w:right="95"/>
              <w:jc w:val="right"/>
              <w:rPr>
                <w:rFonts w:hint="eastAsia"/>
                <w:sz w:val="18"/>
              </w:rPr>
            </w:pPr>
            <w:r>
              <w:rPr>
                <w:rFonts w:hint="eastAsia"/>
                <w:sz w:val="18"/>
              </w:rPr>
              <w:t>0.04</w:t>
            </w:r>
          </w:p>
        </w:tc>
        <w:tc>
          <w:tcPr>
            <w:tcW w:w="2002" w:type="dxa"/>
            <w:vAlign w:val="center"/>
          </w:tcPr>
          <w:p>
            <w:pPr>
              <w:pStyle w:val="9"/>
              <w:ind w:right="95"/>
              <w:jc w:val="right"/>
              <w:rPr>
                <w:rFonts w:hint="eastAsia"/>
                <w:sz w:val="18"/>
                <w:lang w:val="en-US" w:eastAsia="en-US"/>
              </w:rPr>
            </w:pPr>
          </w:p>
        </w:tc>
        <w:tc>
          <w:tcPr>
            <w:tcW w:w="1622" w:type="dxa"/>
            <w:vAlign w:val="center"/>
          </w:tcPr>
          <w:p>
            <w:pPr>
              <w:pStyle w:val="9"/>
              <w:ind w:right="95"/>
              <w:jc w:val="right"/>
              <w:rPr>
                <w:rFonts w:hint="eastAsia"/>
                <w:sz w:val="18"/>
                <w:lang w:val="en-US" w:eastAsia="en-US"/>
              </w:rPr>
            </w:pPr>
            <w:r>
              <w:rPr>
                <w:rFonts w:hint="eastAsia"/>
                <w:sz w:val="18"/>
              </w:rPr>
              <w:t>2,674,572.00</w:t>
            </w:r>
          </w:p>
        </w:tc>
        <w:tc>
          <w:tcPr>
            <w:tcW w:w="1256" w:type="dxa"/>
            <w:vAlign w:val="center"/>
          </w:tcPr>
          <w:p>
            <w:pPr>
              <w:pStyle w:val="9"/>
              <w:ind w:right="95"/>
              <w:jc w:val="right"/>
              <w:rPr>
                <w:rFonts w:hint="eastAsia"/>
                <w:sz w:val="18"/>
                <w:lang w:val="en-US" w:eastAsia="en-US"/>
              </w:rPr>
            </w:pPr>
            <w:r>
              <w:rPr>
                <w:rFonts w:hint="eastAsia"/>
                <w:sz w:val="18"/>
              </w:rPr>
              <w:t>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jc w:val="center"/>
        </w:trPr>
        <w:tc>
          <w:tcPr>
            <w:tcW w:w="1778" w:type="dxa"/>
          </w:tcPr>
          <w:p>
            <w:pPr>
              <w:pStyle w:val="9"/>
              <w:spacing w:before="86"/>
              <w:ind w:left="107"/>
              <w:rPr>
                <w:sz w:val="18"/>
              </w:rPr>
            </w:pPr>
            <w:r>
              <w:rPr>
                <w:sz w:val="18"/>
              </w:rPr>
              <w:t>Restricted shares</w:t>
            </w:r>
            <w:r>
              <w:rPr>
                <w:rFonts w:hint="eastAsia" w:eastAsia="宋体"/>
                <w:sz w:val="18"/>
                <w:lang w:val="en-US" w:eastAsia="zh-CN"/>
              </w:rPr>
              <w:t xml:space="preserve"> </w:t>
            </w:r>
            <w:r>
              <w:rPr>
                <w:sz w:val="18"/>
              </w:rPr>
              <w:t>after the first offering mentioned above</w:t>
            </w:r>
          </w:p>
        </w:tc>
        <w:tc>
          <w:tcPr>
            <w:tcW w:w="1605" w:type="dxa"/>
            <w:vAlign w:val="center"/>
          </w:tcPr>
          <w:p>
            <w:pPr>
              <w:pStyle w:val="9"/>
              <w:ind w:right="95"/>
              <w:jc w:val="right"/>
              <w:rPr>
                <w:rFonts w:hint="eastAsia"/>
                <w:sz w:val="18"/>
              </w:rPr>
            </w:pPr>
            <w:r>
              <w:rPr>
                <w:rFonts w:hint="eastAsia"/>
                <w:sz w:val="18"/>
              </w:rPr>
              <w:t>1,111,528,326.00</w:t>
            </w:r>
          </w:p>
        </w:tc>
        <w:tc>
          <w:tcPr>
            <w:tcW w:w="1356" w:type="dxa"/>
            <w:vAlign w:val="center"/>
          </w:tcPr>
          <w:p>
            <w:pPr>
              <w:pStyle w:val="9"/>
              <w:ind w:right="95"/>
              <w:jc w:val="right"/>
              <w:rPr>
                <w:rFonts w:hint="eastAsia"/>
                <w:sz w:val="18"/>
              </w:rPr>
            </w:pPr>
            <w:r>
              <w:rPr>
                <w:rFonts w:hint="eastAsia"/>
                <w:sz w:val="18"/>
              </w:rPr>
              <w:t>16.81</w:t>
            </w:r>
          </w:p>
        </w:tc>
        <w:tc>
          <w:tcPr>
            <w:tcW w:w="2002" w:type="dxa"/>
            <w:vAlign w:val="center"/>
          </w:tcPr>
          <w:p>
            <w:pPr>
              <w:pStyle w:val="9"/>
              <w:ind w:right="95"/>
              <w:jc w:val="right"/>
              <w:rPr>
                <w:rFonts w:hint="eastAsia"/>
                <w:sz w:val="18"/>
                <w:lang w:val="en-US" w:eastAsia="zh-CN"/>
              </w:rPr>
            </w:pPr>
            <w:r>
              <w:rPr>
                <w:rFonts w:hint="eastAsia"/>
                <w:sz w:val="18"/>
                <w:lang w:val="en-US" w:eastAsia="zh-CN"/>
              </w:rPr>
              <w:t>-</w:t>
            </w:r>
            <w:r>
              <w:rPr>
                <w:rFonts w:hint="eastAsia"/>
                <w:sz w:val="18"/>
              </w:rPr>
              <w:t>1,111,528,326.00</w:t>
            </w:r>
          </w:p>
        </w:tc>
        <w:tc>
          <w:tcPr>
            <w:tcW w:w="1622" w:type="dxa"/>
            <w:vAlign w:val="center"/>
          </w:tcPr>
          <w:p>
            <w:pPr>
              <w:pStyle w:val="9"/>
              <w:ind w:right="95"/>
              <w:jc w:val="right"/>
              <w:rPr>
                <w:rFonts w:hint="default"/>
                <w:sz w:val="18"/>
                <w:lang w:val="en-US" w:eastAsia="zh-CN"/>
              </w:rPr>
            </w:pPr>
            <w:r>
              <w:rPr>
                <w:rFonts w:hint="eastAsia"/>
                <w:sz w:val="18"/>
                <w:lang w:val="en-US" w:eastAsia="zh-CN"/>
              </w:rPr>
              <w:t>0.00</w:t>
            </w:r>
          </w:p>
        </w:tc>
        <w:tc>
          <w:tcPr>
            <w:tcW w:w="1256" w:type="dxa"/>
            <w:vAlign w:val="center"/>
          </w:tcPr>
          <w:p>
            <w:pPr>
              <w:pStyle w:val="9"/>
              <w:ind w:right="95"/>
              <w:jc w:val="right"/>
              <w:rPr>
                <w:rFonts w:hint="default"/>
                <w:sz w:val="18"/>
                <w:lang w:val="en-US" w:eastAsia="zh-CN"/>
              </w:rPr>
            </w:pPr>
            <w:r>
              <w:rPr>
                <w:rFonts w:hint="eastAsia"/>
                <w:sz w:val="18"/>
                <w:lang w:val="en-US" w:eastAsia="zh-CN"/>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jc w:val="center"/>
        </w:trPr>
        <w:tc>
          <w:tcPr>
            <w:tcW w:w="1778" w:type="dxa"/>
          </w:tcPr>
          <w:p>
            <w:pPr>
              <w:pStyle w:val="9"/>
              <w:spacing w:before="88"/>
              <w:ind w:left="107"/>
              <w:rPr>
                <w:b/>
                <w:sz w:val="18"/>
              </w:rPr>
            </w:pPr>
            <w:r>
              <w:rPr>
                <w:b/>
                <w:sz w:val="18"/>
              </w:rPr>
              <w:t>II. Unrestricted</w:t>
            </w:r>
          </w:p>
          <w:p>
            <w:pPr>
              <w:pStyle w:val="9"/>
              <w:spacing w:before="175"/>
              <w:ind w:left="107"/>
              <w:rPr>
                <w:b/>
                <w:sz w:val="18"/>
              </w:rPr>
            </w:pPr>
            <w:r>
              <w:rPr>
                <w:b/>
                <w:sz w:val="18"/>
              </w:rPr>
              <w:t>outstanding shares</w:t>
            </w:r>
          </w:p>
        </w:tc>
        <w:tc>
          <w:tcPr>
            <w:tcW w:w="1605" w:type="dxa"/>
            <w:vAlign w:val="center"/>
          </w:tcPr>
          <w:p>
            <w:pPr>
              <w:pStyle w:val="9"/>
              <w:ind w:right="95"/>
              <w:jc w:val="right"/>
              <w:rPr>
                <w:rFonts w:hint="eastAsia"/>
                <w:sz w:val="18"/>
              </w:rPr>
            </w:pPr>
            <w:r>
              <w:rPr>
                <w:rFonts w:hint="eastAsia"/>
                <w:sz w:val="18"/>
              </w:rPr>
              <w:t>5,497,018,809.00</w:t>
            </w:r>
          </w:p>
        </w:tc>
        <w:tc>
          <w:tcPr>
            <w:tcW w:w="1356" w:type="dxa"/>
            <w:vAlign w:val="center"/>
          </w:tcPr>
          <w:p>
            <w:pPr>
              <w:pStyle w:val="9"/>
              <w:ind w:right="95"/>
              <w:jc w:val="right"/>
              <w:rPr>
                <w:rFonts w:hint="eastAsia"/>
                <w:sz w:val="18"/>
              </w:rPr>
            </w:pPr>
            <w:r>
              <w:rPr>
                <w:rFonts w:hint="eastAsia"/>
                <w:sz w:val="18"/>
              </w:rPr>
              <w:t>83.15</w:t>
            </w:r>
          </w:p>
        </w:tc>
        <w:tc>
          <w:tcPr>
            <w:tcW w:w="2002" w:type="dxa"/>
            <w:vAlign w:val="center"/>
          </w:tcPr>
          <w:p>
            <w:pPr>
              <w:pStyle w:val="9"/>
              <w:ind w:right="95"/>
              <w:jc w:val="right"/>
              <w:rPr>
                <w:rFonts w:hint="default"/>
                <w:sz w:val="18"/>
                <w:lang w:val="en-US" w:eastAsia="zh-CN"/>
              </w:rPr>
            </w:pPr>
            <w:r>
              <w:rPr>
                <w:rFonts w:hint="eastAsia"/>
                <w:sz w:val="18"/>
              </w:rPr>
              <w:t>+</w:t>
            </w:r>
            <w:r>
              <w:rPr>
                <w:rFonts w:hint="eastAsia"/>
                <w:sz w:val="18"/>
                <w:lang w:val="en-US" w:eastAsia="zh-CN"/>
              </w:rPr>
              <w:t>1,111,529,377.00</w:t>
            </w:r>
          </w:p>
        </w:tc>
        <w:tc>
          <w:tcPr>
            <w:tcW w:w="1622" w:type="dxa"/>
            <w:vAlign w:val="center"/>
          </w:tcPr>
          <w:p>
            <w:pPr>
              <w:pStyle w:val="9"/>
              <w:ind w:right="95"/>
              <w:jc w:val="right"/>
              <w:rPr>
                <w:rFonts w:hint="eastAsia"/>
                <w:sz w:val="18"/>
                <w:lang w:val="en-US" w:eastAsia="en-US"/>
              </w:rPr>
            </w:pPr>
            <w:r>
              <w:rPr>
                <w:rFonts w:hint="eastAsia"/>
                <w:sz w:val="18"/>
              </w:rPr>
              <w:t>6,608,548,186.00</w:t>
            </w:r>
          </w:p>
        </w:tc>
        <w:tc>
          <w:tcPr>
            <w:tcW w:w="1256" w:type="dxa"/>
            <w:vAlign w:val="center"/>
          </w:tcPr>
          <w:p>
            <w:pPr>
              <w:pStyle w:val="9"/>
              <w:ind w:right="95"/>
              <w:jc w:val="right"/>
              <w:rPr>
                <w:rFonts w:hint="default"/>
                <w:sz w:val="18"/>
                <w:lang w:val="en-US" w:eastAsia="zh-CN"/>
              </w:rPr>
            </w:pPr>
            <w:r>
              <w:rPr>
                <w:rFonts w:hint="eastAsia"/>
                <w:sz w:val="18"/>
                <w:lang w:val="en-US" w:eastAsia="zh-CN"/>
              </w:rPr>
              <w:t>99.96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1778" w:type="dxa"/>
          </w:tcPr>
          <w:p>
            <w:pPr>
              <w:pStyle w:val="9"/>
              <w:spacing w:before="175"/>
              <w:ind w:left="107"/>
              <w:rPr>
                <w:b/>
                <w:sz w:val="18"/>
              </w:rPr>
            </w:pPr>
            <w:r>
              <w:rPr>
                <w:b/>
                <w:sz w:val="18"/>
              </w:rPr>
              <w:t>III. Total shares</w:t>
            </w:r>
          </w:p>
        </w:tc>
        <w:tc>
          <w:tcPr>
            <w:tcW w:w="1605" w:type="dxa"/>
            <w:vAlign w:val="center"/>
          </w:tcPr>
          <w:p>
            <w:pPr>
              <w:pStyle w:val="9"/>
              <w:ind w:right="95"/>
              <w:jc w:val="right"/>
              <w:rPr>
                <w:rFonts w:hint="eastAsia"/>
                <w:sz w:val="18"/>
              </w:rPr>
            </w:pPr>
            <w:r>
              <w:rPr>
                <w:rFonts w:hint="eastAsia"/>
                <w:sz w:val="18"/>
              </w:rPr>
              <w:t>6,611,221,707.00</w:t>
            </w:r>
          </w:p>
        </w:tc>
        <w:tc>
          <w:tcPr>
            <w:tcW w:w="1356" w:type="dxa"/>
            <w:vAlign w:val="center"/>
          </w:tcPr>
          <w:p>
            <w:pPr>
              <w:pStyle w:val="9"/>
              <w:ind w:right="95"/>
              <w:jc w:val="right"/>
              <w:rPr>
                <w:rFonts w:hint="eastAsia"/>
                <w:sz w:val="18"/>
              </w:rPr>
            </w:pPr>
            <w:r>
              <w:rPr>
                <w:rFonts w:hint="eastAsia"/>
                <w:sz w:val="18"/>
              </w:rPr>
              <w:t>100.00</w:t>
            </w:r>
          </w:p>
        </w:tc>
        <w:tc>
          <w:tcPr>
            <w:tcW w:w="2002" w:type="dxa"/>
            <w:vAlign w:val="center"/>
          </w:tcPr>
          <w:p>
            <w:pPr>
              <w:pStyle w:val="9"/>
              <w:ind w:right="95"/>
              <w:jc w:val="right"/>
              <w:rPr>
                <w:rFonts w:hint="eastAsia"/>
                <w:sz w:val="18"/>
                <w:lang w:val="en-US" w:eastAsia="zh-CN"/>
              </w:rPr>
            </w:pPr>
            <w:r>
              <w:rPr>
                <w:rFonts w:hint="eastAsia"/>
                <w:sz w:val="18"/>
              </w:rPr>
              <w:t>+</w:t>
            </w:r>
            <w:r>
              <w:rPr>
                <w:rFonts w:hint="eastAsia"/>
                <w:sz w:val="18"/>
                <w:lang w:val="en-US" w:eastAsia="zh-CN"/>
              </w:rPr>
              <w:t>1,051</w:t>
            </w:r>
            <w:r>
              <w:rPr>
                <w:rFonts w:hint="eastAsia"/>
                <w:sz w:val="18"/>
              </w:rPr>
              <w:t>.00</w:t>
            </w:r>
          </w:p>
        </w:tc>
        <w:tc>
          <w:tcPr>
            <w:tcW w:w="1622" w:type="dxa"/>
            <w:vAlign w:val="center"/>
          </w:tcPr>
          <w:p>
            <w:pPr>
              <w:pStyle w:val="9"/>
              <w:ind w:right="95"/>
              <w:jc w:val="right"/>
              <w:rPr>
                <w:rFonts w:hint="eastAsia"/>
                <w:sz w:val="18"/>
                <w:lang w:val="en-US" w:eastAsia="en-US"/>
              </w:rPr>
            </w:pPr>
            <w:r>
              <w:rPr>
                <w:rFonts w:hint="eastAsia"/>
                <w:sz w:val="18"/>
              </w:rPr>
              <w:t>6,611,222,758.00</w:t>
            </w:r>
          </w:p>
        </w:tc>
        <w:tc>
          <w:tcPr>
            <w:tcW w:w="1256" w:type="dxa"/>
            <w:vAlign w:val="center"/>
          </w:tcPr>
          <w:p>
            <w:pPr>
              <w:pStyle w:val="9"/>
              <w:ind w:right="95"/>
              <w:jc w:val="right"/>
              <w:rPr>
                <w:rFonts w:hint="eastAsia"/>
                <w:sz w:val="18"/>
                <w:lang w:val="en-US" w:eastAsia="en-US"/>
              </w:rPr>
            </w:pPr>
            <w:r>
              <w:rPr>
                <w:rFonts w:hint="eastAsia"/>
                <w:sz w:val="18"/>
              </w:rPr>
              <w:t>100.00</w:t>
            </w:r>
          </w:p>
        </w:tc>
      </w:tr>
      <w:bookmarkEnd w:id="0"/>
    </w:tbl>
    <w:p>
      <w:pPr>
        <w:pStyle w:val="4"/>
        <w:spacing w:before="193" w:line="381" w:lineRule="auto"/>
        <w:ind w:left="552" w:right="508" w:firstLine="480"/>
        <w:rPr>
          <w:rFonts w:hint="default"/>
          <w:sz w:val="21"/>
          <w:szCs w:val="21"/>
          <w:lang w:val="en-US" w:eastAsia="zh-CN"/>
        </w:rPr>
      </w:pPr>
      <w:r>
        <w:rPr>
          <w:rFonts w:hint="default"/>
          <w:sz w:val="21"/>
          <w:szCs w:val="21"/>
          <w:lang w:val="en-US" w:eastAsia="zh-CN"/>
        </w:rPr>
        <w:t xml:space="preserve">Note: The 1,111,528,326 restricted shares held in total by Shenghong Petrochemical Group Co., Ltd. and Lianyungang Bohong Industrial Co., Ltd. </w:t>
      </w:r>
      <w:r>
        <w:rPr>
          <w:rFonts w:hint="eastAsia"/>
          <w:sz w:val="21"/>
          <w:szCs w:val="21"/>
          <w:lang w:val="en-US" w:eastAsia="zh-CN"/>
        </w:rPr>
        <w:t>has</w:t>
      </w:r>
      <w:r>
        <w:rPr>
          <w:rFonts w:hint="default"/>
          <w:sz w:val="21"/>
          <w:szCs w:val="21"/>
          <w:lang w:val="en-US" w:eastAsia="zh-CN"/>
        </w:rPr>
        <w:t xml:space="preserve"> be</w:t>
      </w:r>
      <w:r>
        <w:rPr>
          <w:rFonts w:hint="eastAsia"/>
          <w:sz w:val="21"/>
          <w:szCs w:val="21"/>
          <w:lang w:val="en-US" w:eastAsia="zh-CN"/>
        </w:rPr>
        <w:t>en</w:t>
      </w:r>
      <w:r>
        <w:rPr>
          <w:rFonts w:hint="default"/>
          <w:sz w:val="21"/>
          <w:szCs w:val="21"/>
          <w:lang w:val="en-US" w:eastAsia="zh-CN"/>
        </w:rPr>
        <w:t xml:space="preserve"> released from restrictions on January 27, 2025. For details, please refer to the </w:t>
      </w:r>
      <w:r>
        <w:rPr>
          <w:rFonts w:hint="eastAsia"/>
          <w:sz w:val="21"/>
          <w:szCs w:val="21"/>
          <w:lang w:val="en-US" w:eastAsia="zh-CN"/>
        </w:rPr>
        <w:t>C</w:t>
      </w:r>
      <w:r>
        <w:rPr>
          <w:rFonts w:hint="default"/>
          <w:sz w:val="21"/>
          <w:szCs w:val="21"/>
          <w:lang w:val="en-US" w:eastAsia="zh-CN"/>
        </w:rPr>
        <w:t>ompany's announcement titled "Notice Regarding the</w:t>
      </w:r>
      <w:bookmarkStart w:id="1" w:name="_GoBack"/>
      <w:bookmarkEnd w:id="1"/>
      <w:r>
        <w:rPr>
          <w:rFonts w:hint="default"/>
          <w:sz w:val="21"/>
          <w:szCs w:val="21"/>
          <w:lang w:val="en-US" w:eastAsia="zh-CN"/>
        </w:rPr>
        <w:t xml:space="preserve"> Circulation of Restricted Shares" disclosed on January 23, 2025 (Announcement No.: 2025-010).</w:t>
      </w:r>
    </w:p>
    <w:p>
      <w:pPr>
        <w:pStyle w:val="3"/>
        <w:numPr>
          <w:ilvl w:val="0"/>
          <w:numId w:val="0"/>
        </w:numPr>
        <w:tabs>
          <w:tab w:val="left" w:pos="1492"/>
        </w:tabs>
        <w:spacing w:before="186" w:line="381" w:lineRule="auto"/>
        <w:ind w:left="1034" w:leftChars="0" w:right="581" w:rightChars="0"/>
        <w:jc w:val="both"/>
        <w:rPr>
          <w:rFonts w:hint="default" w:ascii="Times New Roman" w:hAnsi="Times New Roman" w:cs="Times New Roman"/>
          <w:b/>
          <w:sz w:val="30"/>
        </w:rPr>
      </w:pPr>
      <w:r>
        <w:rPr>
          <w:rFonts w:hint="default" w:ascii="Times New Roman" w:hAnsi="Times New Roman" w:eastAsia="宋体" w:cs="Times New Roman"/>
          <w:lang w:val="en-US" w:eastAsia="zh-CN"/>
        </w:rPr>
        <w:t xml:space="preserve">Ⅳ. </w:t>
      </w:r>
      <w:r>
        <w:rPr>
          <w:rFonts w:hint="default" w:ascii="Times New Roman" w:hAnsi="Times New Roman" w:cs="Times New Roman"/>
        </w:rPr>
        <w:t>Others</w:t>
      </w:r>
    </w:p>
    <w:p>
      <w:pPr>
        <w:pStyle w:val="4"/>
        <w:spacing w:before="193" w:line="381" w:lineRule="auto"/>
        <w:ind w:left="552" w:right="508" w:firstLine="480"/>
      </w:pPr>
      <w:r>
        <w:t>For more details on the Shenghong Convertible Bond, investors may consult the full text of the Prospectus of the Public Issuance of A-Share Convertible Bonds by Jiangsu Eastern Shenghong Co., Ltd. disclosed by the Company on CNINF</w:t>
      </w:r>
      <w:r>
        <w:rPr>
          <w:rFonts w:hint="eastAsia"/>
          <w:lang w:eastAsia="zh-CN"/>
        </w:rPr>
        <w:t>O</w:t>
      </w:r>
      <w:r>
        <w:t xml:space="preserve"> (http://www.cninfo.com.cn) on March 18, 2021 or contact the Office of the Company’s Board Secretary by calling 0512-63573480.</w:t>
      </w:r>
    </w:p>
    <w:p>
      <w:pPr>
        <w:pStyle w:val="3"/>
        <w:numPr>
          <w:ilvl w:val="0"/>
          <w:numId w:val="0"/>
        </w:numPr>
        <w:tabs>
          <w:tab w:val="left" w:pos="1492"/>
        </w:tabs>
        <w:spacing w:before="186" w:line="381" w:lineRule="auto"/>
        <w:ind w:left="1034" w:leftChars="0" w:right="581" w:rightChars="0"/>
        <w:jc w:val="both"/>
        <w:rPr>
          <w:rFonts w:hint="default" w:ascii="Times New Roman" w:hAnsi="Times New Roman" w:cs="Times New Roman"/>
          <w:b/>
          <w:sz w:val="30"/>
        </w:rPr>
      </w:pPr>
      <w:r>
        <w:rPr>
          <w:rFonts w:hint="default" w:ascii="Times New Roman" w:hAnsi="Times New Roman" w:eastAsia="宋体" w:cs="Times New Roman"/>
          <w:lang w:val="en-US" w:eastAsia="zh-CN"/>
        </w:rPr>
        <w:t xml:space="preserve">Ⅴ. </w:t>
      </w:r>
      <w:r>
        <w:rPr>
          <w:rFonts w:hint="default" w:ascii="Times New Roman" w:hAnsi="Times New Roman" w:cs="Times New Roman"/>
        </w:rPr>
        <w:t>Documents Available for Inspection</w:t>
      </w:r>
    </w:p>
    <w:p>
      <w:pPr>
        <w:pStyle w:val="4"/>
        <w:spacing w:before="193" w:line="381" w:lineRule="auto"/>
        <w:ind w:left="552" w:right="508" w:firstLine="480"/>
      </w:pPr>
      <w:r>
        <w:t>1. The Table of the Issuer’s Equity Structure (Calculated by Share Nature) issued by the Shenzhen Branch of China Securities Depository and Clearing Corporation Limited.</w:t>
      </w:r>
    </w:p>
    <w:p>
      <w:pPr>
        <w:pStyle w:val="4"/>
        <w:spacing w:before="6"/>
        <w:rPr>
          <w:sz w:val="33"/>
        </w:rPr>
      </w:pPr>
    </w:p>
    <w:p>
      <w:pPr>
        <w:pStyle w:val="4"/>
        <w:ind w:left="1033"/>
      </w:pPr>
      <w:r>
        <w:t>This is hereby announced.</w:t>
      </w:r>
    </w:p>
    <w:p>
      <w:pPr>
        <w:pStyle w:val="4"/>
        <w:rPr>
          <w:sz w:val="26"/>
        </w:rPr>
      </w:pPr>
    </w:p>
    <w:p>
      <w:pPr>
        <w:pStyle w:val="4"/>
        <w:rPr>
          <w:sz w:val="26"/>
        </w:rPr>
      </w:pPr>
    </w:p>
    <w:p>
      <w:pPr>
        <w:pStyle w:val="4"/>
        <w:rPr>
          <w:sz w:val="26"/>
        </w:rPr>
      </w:pPr>
    </w:p>
    <w:p>
      <w:pPr>
        <w:pStyle w:val="4"/>
        <w:spacing w:before="3"/>
        <w:rPr>
          <w:sz w:val="34"/>
        </w:rPr>
      </w:pPr>
    </w:p>
    <w:p>
      <w:pPr>
        <w:pStyle w:val="3"/>
        <w:spacing w:before="1"/>
        <w:ind w:right="572"/>
        <w:jc w:val="right"/>
      </w:pPr>
      <w:r>
        <w:t>Jiangsu Eastern Shenghong Co.,</w:t>
      </w:r>
      <w:r>
        <w:rPr>
          <w:spacing w:val="-7"/>
        </w:rPr>
        <w:t xml:space="preserve"> </w:t>
      </w:r>
      <w:r>
        <w:t>Ltd.</w:t>
      </w:r>
    </w:p>
    <w:p>
      <w:pPr>
        <w:spacing w:before="124"/>
        <w:ind w:right="574"/>
        <w:jc w:val="right"/>
        <w:rPr>
          <w:b/>
          <w:sz w:val="24"/>
        </w:rPr>
      </w:pPr>
      <w:r>
        <w:rPr>
          <w:b/>
          <w:sz w:val="24"/>
        </w:rPr>
        <w:t>Board of</w:t>
      </w:r>
      <w:r>
        <w:rPr>
          <w:b/>
          <w:spacing w:val="-6"/>
          <w:sz w:val="24"/>
        </w:rPr>
        <w:t xml:space="preserve"> </w:t>
      </w:r>
      <w:r>
        <w:rPr>
          <w:b/>
          <w:sz w:val="24"/>
        </w:rPr>
        <w:t>Directors</w:t>
      </w:r>
    </w:p>
    <w:p>
      <w:pPr>
        <w:spacing w:before="123"/>
        <w:ind w:right="571"/>
        <w:jc w:val="right"/>
        <w:rPr>
          <w:rFonts w:eastAsia="宋体"/>
          <w:b/>
          <w:sz w:val="24"/>
          <w:lang w:eastAsia="zh-CN"/>
        </w:rPr>
      </w:pPr>
      <w:r>
        <w:rPr>
          <w:rFonts w:hint="eastAsia" w:eastAsia="宋体"/>
          <w:b/>
          <w:sz w:val="24"/>
          <w:lang w:val="en-US" w:eastAsia="zh-CN"/>
        </w:rPr>
        <w:t>April</w:t>
      </w:r>
      <w:r>
        <w:rPr>
          <w:b/>
          <w:sz w:val="24"/>
        </w:rPr>
        <w:t xml:space="preserve"> </w:t>
      </w:r>
      <w:r>
        <w:rPr>
          <w:rFonts w:hint="eastAsia" w:eastAsia="宋体"/>
          <w:b/>
          <w:sz w:val="24"/>
          <w:lang w:val="en-US" w:eastAsia="zh-CN"/>
        </w:rPr>
        <w:t>1</w:t>
      </w:r>
      <w:r>
        <w:rPr>
          <w:b/>
          <w:sz w:val="24"/>
        </w:rPr>
        <w:t>,</w:t>
      </w:r>
      <w:r>
        <w:rPr>
          <w:b/>
          <w:spacing w:val="-1"/>
          <w:sz w:val="24"/>
        </w:rPr>
        <w:t xml:space="preserve"> </w:t>
      </w:r>
      <w:r>
        <w:rPr>
          <w:b/>
          <w:sz w:val="24"/>
        </w:rPr>
        <w:t>202</w:t>
      </w:r>
      <w:r>
        <w:rPr>
          <w:rFonts w:hint="eastAsia" w:eastAsia="宋体"/>
          <w:b/>
          <w:sz w:val="24"/>
          <w:lang w:eastAsia="zh-CN"/>
        </w:rPr>
        <w:t>5</w:t>
      </w:r>
    </w:p>
    <w:sectPr>
      <w:pgSz w:w="11910" w:h="16840"/>
      <w:pgMar w:top="1180" w:right="560" w:bottom="1420" w:left="580" w:header="0" w:footer="123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1025" o:spid="_x0000_s1025" o:spt="202" type="#_x0000_t202" style="position:absolute;left:0pt;margin-left:532.05pt;margin-top:769.3pt;height:11pt;width:8.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20" w:lineRule="exact"/>
                  <w:ind w:left="40"/>
                  <w:rPr>
                    <w:rFonts w:ascii="宋体"/>
                    <w:sz w:val="18"/>
                  </w:rPr>
                </w:pPr>
                <w:r>
                  <w:fldChar w:fldCharType="begin"/>
                </w:r>
                <w:r>
                  <w:rPr>
                    <w:rFonts w:ascii="宋体"/>
                    <w:sz w:val="18"/>
                  </w:rPr>
                  <w:instrText xml:space="preserve"> PAGE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273" w:hanging="240"/>
        <w:jc w:val="left"/>
      </w:pPr>
      <w:rPr>
        <w:rFonts w:hint="default" w:ascii="Times New Roman" w:hAnsi="Times New Roman" w:eastAsia="Times New Roman" w:cs="Times New Roman"/>
        <w:spacing w:val="-2"/>
        <w:w w:val="99"/>
        <w:sz w:val="24"/>
        <w:szCs w:val="24"/>
        <w:lang w:val="en-US" w:eastAsia="en-US" w:bidi="en-US"/>
      </w:rPr>
    </w:lvl>
    <w:lvl w:ilvl="1" w:tentative="0">
      <w:start w:val="1"/>
      <w:numFmt w:val="upperRoman"/>
      <w:lvlText w:val="%2."/>
      <w:lvlJc w:val="left"/>
      <w:pPr>
        <w:ind w:left="1249" w:hanging="214"/>
        <w:jc w:val="left"/>
      </w:pPr>
      <w:rPr>
        <w:rFonts w:hint="default" w:ascii="Times New Roman" w:hAnsi="Times New Roman" w:eastAsia="Times New Roman" w:cs="Times New Roman"/>
        <w:b/>
        <w:bCs/>
        <w:spacing w:val="-3"/>
        <w:w w:val="99"/>
        <w:sz w:val="24"/>
        <w:szCs w:val="24"/>
        <w:lang w:val="en-US" w:eastAsia="en-US" w:bidi="en-US"/>
      </w:rPr>
    </w:lvl>
    <w:lvl w:ilvl="2" w:tentative="0">
      <w:start w:val="0"/>
      <w:numFmt w:val="bullet"/>
      <w:lvlText w:val="•"/>
      <w:lvlJc w:val="left"/>
      <w:pPr>
        <w:ind w:left="2334" w:hanging="214"/>
      </w:pPr>
      <w:rPr>
        <w:rFonts w:hint="default"/>
        <w:lang w:val="en-US" w:eastAsia="en-US" w:bidi="en-US"/>
      </w:rPr>
    </w:lvl>
    <w:lvl w:ilvl="3" w:tentative="0">
      <w:start w:val="0"/>
      <w:numFmt w:val="bullet"/>
      <w:lvlText w:val="•"/>
      <w:lvlJc w:val="left"/>
      <w:pPr>
        <w:ind w:left="3388" w:hanging="214"/>
      </w:pPr>
      <w:rPr>
        <w:rFonts w:hint="default"/>
        <w:lang w:val="en-US" w:eastAsia="en-US" w:bidi="en-US"/>
      </w:rPr>
    </w:lvl>
    <w:lvl w:ilvl="4" w:tentative="0">
      <w:start w:val="0"/>
      <w:numFmt w:val="bullet"/>
      <w:lvlText w:val="•"/>
      <w:lvlJc w:val="left"/>
      <w:pPr>
        <w:ind w:left="4442" w:hanging="214"/>
      </w:pPr>
      <w:rPr>
        <w:rFonts w:hint="default"/>
        <w:lang w:val="en-US" w:eastAsia="en-US" w:bidi="en-US"/>
      </w:rPr>
    </w:lvl>
    <w:lvl w:ilvl="5" w:tentative="0">
      <w:start w:val="0"/>
      <w:numFmt w:val="bullet"/>
      <w:lvlText w:val="•"/>
      <w:lvlJc w:val="left"/>
      <w:pPr>
        <w:ind w:left="5496" w:hanging="214"/>
      </w:pPr>
      <w:rPr>
        <w:rFonts w:hint="default"/>
        <w:lang w:val="en-US" w:eastAsia="en-US" w:bidi="en-US"/>
      </w:rPr>
    </w:lvl>
    <w:lvl w:ilvl="6" w:tentative="0">
      <w:start w:val="0"/>
      <w:numFmt w:val="bullet"/>
      <w:lvlText w:val="•"/>
      <w:lvlJc w:val="left"/>
      <w:pPr>
        <w:ind w:left="6550" w:hanging="214"/>
      </w:pPr>
      <w:rPr>
        <w:rFonts w:hint="default"/>
        <w:lang w:val="en-US" w:eastAsia="en-US" w:bidi="en-US"/>
      </w:rPr>
    </w:lvl>
    <w:lvl w:ilvl="7" w:tentative="0">
      <w:start w:val="0"/>
      <w:numFmt w:val="bullet"/>
      <w:lvlText w:val="•"/>
      <w:lvlJc w:val="left"/>
      <w:pPr>
        <w:ind w:left="7604" w:hanging="214"/>
      </w:pPr>
      <w:rPr>
        <w:rFonts w:hint="default"/>
        <w:lang w:val="en-US" w:eastAsia="en-US" w:bidi="en-US"/>
      </w:rPr>
    </w:lvl>
    <w:lvl w:ilvl="8" w:tentative="0">
      <w:start w:val="0"/>
      <w:numFmt w:val="bullet"/>
      <w:lvlText w:val="•"/>
      <w:lvlJc w:val="left"/>
      <w:pPr>
        <w:ind w:left="8658" w:hanging="214"/>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shapeLayoutLikeWW8/>
    <w:useFELayout/>
    <w:compatSetting w:name="compatibilityMode" w:uri="http://schemas.microsoft.com/office/word" w:val="12"/>
  </w:compat>
  <w:rsids>
    <w:rsidRoot w:val="00395F5E"/>
    <w:rsid w:val="001A4C2D"/>
    <w:rsid w:val="002C67E3"/>
    <w:rsid w:val="00311842"/>
    <w:rsid w:val="00395F5E"/>
    <w:rsid w:val="003D0193"/>
    <w:rsid w:val="003D286F"/>
    <w:rsid w:val="006C4518"/>
    <w:rsid w:val="006E77C2"/>
    <w:rsid w:val="0071541A"/>
    <w:rsid w:val="007E6F11"/>
    <w:rsid w:val="00E31EC8"/>
    <w:rsid w:val="093224B4"/>
    <w:rsid w:val="0C25578D"/>
    <w:rsid w:val="0E5000C2"/>
    <w:rsid w:val="0F1C7222"/>
    <w:rsid w:val="14A22258"/>
    <w:rsid w:val="196F0A16"/>
    <w:rsid w:val="1C031F9C"/>
    <w:rsid w:val="20F60618"/>
    <w:rsid w:val="239057D8"/>
    <w:rsid w:val="242412F5"/>
    <w:rsid w:val="29B70913"/>
    <w:rsid w:val="29D0078B"/>
    <w:rsid w:val="29FC2C55"/>
    <w:rsid w:val="2AF311F5"/>
    <w:rsid w:val="31207943"/>
    <w:rsid w:val="3148058F"/>
    <w:rsid w:val="3C3961B3"/>
    <w:rsid w:val="42836B25"/>
    <w:rsid w:val="42A77329"/>
    <w:rsid w:val="45E06C46"/>
    <w:rsid w:val="48EF7DC9"/>
    <w:rsid w:val="49B256FF"/>
    <w:rsid w:val="4B9A7563"/>
    <w:rsid w:val="4D906891"/>
    <w:rsid w:val="526039B8"/>
    <w:rsid w:val="564A4D5B"/>
    <w:rsid w:val="56724BA4"/>
    <w:rsid w:val="5E3F2DFD"/>
    <w:rsid w:val="5EDF5796"/>
    <w:rsid w:val="635D7793"/>
    <w:rsid w:val="64620AC3"/>
    <w:rsid w:val="68D97C4C"/>
    <w:rsid w:val="717C6DAE"/>
    <w:rsid w:val="72FA4732"/>
    <w:rsid w:val="78AB0F3A"/>
    <w:rsid w:val="7A862EFF"/>
    <w:rsid w:val="7AC43C3F"/>
    <w:rsid w:val="7DD134E8"/>
    <w:rsid w:val="7E3E1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en-US"/>
    </w:rPr>
  </w:style>
  <w:style w:type="paragraph" w:styleId="2">
    <w:name w:val="heading 1"/>
    <w:basedOn w:val="1"/>
    <w:next w:val="1"/>
    <w:qFormat/>
    <w:uiPriority w:val="1"/>
    <w:pPr>
      <w:spacing w:before="87"/>
      <w:ind w:left="1047" w:right="1071"/>
      <w:jc w:val="center"/>
      <w:outlineLvl w:val="0"/>
    </w:pPr>
    <w:rPr>
      <w:b/>
      <w:bCs/>
      <w:sz w:val="30"/>
      <w:szCs w:val="30"/>
    </w:rPr>
  </w:style>
  <w:style w:type="paragraph" w:styleId="3">
    <w:name w:val="heading 2"/>
    <w:basedOn w:val="1"/>
    <w:next w:val="1"/>
    <w:qFormat/>
    <w:uiPriority w:val="1"/>
    <w:pPr>
      <w:jc w:val="both"/>
      <w:outlineLvl w:val="1"/>
    </w:pPr>
    <w:rPr>
      <w:b/>
      <w:bCs/>
      <w:sz w:val="24"/>
      <w:szCs w:val="24"/>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24"/>
      <w:szCs w:val="24"/>
    </w:rPr>
  </w:style>
  <w:style w:type="table" w:customStyle="1" w:styleId="7">
    <w:name w:val="Table Normal1"/>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04"/>
      <w:ind w:left="1273" w:hanging="241"/>
      <w:jc w:val="both"/>
    </w:pPr>
  </w:style>
  <w:style w:type="paragraph" w:customStyle="1" w:styleId="9">
    <w:name w:val="Table Paragraph"/>
    <w:basedOn w:val="1"/>
    <w:qFormat/>
    <w:uiPriority w:val="1"/>
  </w:style>
  <w:style w:type="paragraph" w:customStyle="1" w:styleId="10">
    <w:name w:val="Revision1"/>
    <w:hidden/>
    <w:semiHidden/>
    <w:qFormat/>
    <w:uiPriority w:val="99"/>
    <w:rPr>
      <w:rFonts w:ascii="Times New Roman" w:hAnsi="Times New Roman" w:eastAsia="Times New Roman" w:cs="Times New Roman"/>
      <w:sz w:val="22"/>
      <w:szCs w:val="22"/>
      <w:lang w:val="en-US" w:eastAsia="en-US" w:bidi="en-US"/>
    </w:rPr>
  </w:style>
  <w:style w:type="paragraph" w:customStyle="1" w:styleId="11">
    <w:name w:val="Revision"/>
    <w:hidden/>
    <w:unhideWhenUsed/>
    <w:qFormat/>
    <w:uiPriority w:val="99"/>
    <w:rPr>
      <w:rFonts w:ascii="Times New Roman" w:hAnsi="Times New Roman" w:eastAsia="Times New Roman" w:cs="Times New Roman"/>
      <w:sz w:val="22"/>
      <w:szCs w:val="22"/>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1055</Words>
  <Characters>6019</Characters>
  <Lines>50</Lines>
  <Paragraphs>14</Paragraphs>
  <TotalTime>29</TotalTime>
  <ScaleCrop>false</ScaleCrop>
  <LinksUpToDate>false</LinksUpToDate>
  <CharactersWithSpaces>7060</CharactersWithSpaces>
  <Application>WPS Office_11.8.0.16979_F1E327BC-269C-435d-A152-05C5408002CA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2023-10-08T07:21:00Z</dcterms:created>
  <dc:creator>User</dc:creator>
  <cp:lastModifiedBy>le</cp:lastModifiedBy>
  <dcterms:modified xsi:type="dcterms:W3CDTF">2025-04-01T09:08:39Z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Microsoft® Word 2010</vt:lpwstr>
  </property>
  <property fmtid="{D5CDD505-2E9C-101B-9397-08002B2CF9AE}" pid="4" name="LastSaved">
    <vt:filetime>2023-10-08T00:00:00Z</vt:filetime>
  </property>
  <property fmtid="{D5CDD505-2E9C-101B-9397-08002B2CF9AE}" pid="5" name="KSOProductBuildVer">
    <vt:lpwstr>2052-11.8.0.16979</vt:lpwstr>
  </property>
  <property fmtid="{D5CDD505-2E9C-101B-9397-08002B2CF9AE}" pid="6" name="ICV">
    <vt:lpwstr>8627E13664FA4D458366E939A39EE70D</vt:lpwstr>
  </property>
</Properties>
</file>